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false"/>
        <w:spacing w:lineRule="auto" w:line="240"/>
        <w:jc w:val="center"/>
        <w:rPr/>
      </w:pPr>
      <w:r>
        <w:rPr>
          <w:rFonts w:ascii="Verdana" w:hAnsi="Verdana"/>
          <w:b/>
          <w:bCs/>
          <w:color w:val="000000"/>
          <w:sz w:val="20"/>
        </w:rPr>
        <w:t>ANEXO I</w:t>
      </w:r>
      <w:r>
        <w:rPr>
          <w:rFonts w:ascii="Verdana" w:hAnsi="Verdana"/>
          <w:b/>
          <w:bCs/>
          <w:color w:val="000000"/>
          <w:sz w:val="20"/>
        </w:rPr>
        <w:t>I</w:t>
      </w:r>
    </w:p>
    <w:p>
      <w:pPr>
        <w:pStyle w:val="Normal"/>
        <w:suppressAutoHyphens w:val="false"/>
        <w:spacing w:lineRule="auto" w:line="240"/>
        <w:jc w:val="center"/>
        <w:rPr/>
      </w:pPr>
      <w:r>
        <w:rPr>
          <w:rFonts w:ascii="Verdana" w:hAnsi="Verdana"/>
          <w:b/>
          <w:bCs/>
          <w:color w:val="000000"/>
          <w:sz w:val="20"/>
        </w:rPr>
        <w:t>TERMO DE REFERÊNCIA – LEI 14.133/21</w:t>
      </w:r>
    </w:p>
    <w:p>
      <w:pPr>
        <w:pStyle w:val="Normal"/>
        <w:spacing w:lineRule="auto" w:line="240"/>
        <w:jc w:val="center"/>
        <w:rPr>
          <w:rFonts w:ascii="Verdana" w:hAnsi="Verdana" w:cs="Arial"/>
          <w:b/>
          <w:sz w:val="20"/>
          <w:u w:val="single"/>
        </w:rPr>
      </w:pPr>
      <w:r>
        <w:rPr>
          <w:rFonts w:cs="Arial" w:ascii="Verdana" w:hAnsi="Verdana"/>
          <w:b/>
          <w:sz w:val="20"/>
          <w:u w:val="single"/>
        </w:rPr>
      </w:r>
    </w:p>
    <w:p>
      <w:pPr>
        <w:pStyle w:val="Normal"/>
        <w:spacing w:lineRule="auto" w:line="240"/>
        <w:jc w:val="center"/>
        <w:rPr/>
      </w:pPr>
      <w:r>
        <w:rPr>
          <w:rFonts w:ascii="Verdana" w:hAnsi="Verdana"/>
          <w:b/>
          <w:bCs/>
          <w:iCs/>
          <w:color w:val="000000"/>
          <w:sz w:val="20"/>
        </w:rPr>
        <w:t xml:space="preserve">REGISTRO DE PREÇOS – </w:t>
      </w:r>
      <w:r>
        <w:rPr>
          <w:rFonts w:cs="Arial" w:ascii="Verdana" w:hAnsi="Verdana"/>
          <w:b/>
          <w:bCs/>
          <w:iCs/>
          <w:color w:val="000000"/>
          <w:sz w:val="20"/>
          <w:u w:val="single"/>
        </w:rPr>
        <w:t>AQUISIÇÃO DE MATERIAL ODONTOLÓGICO</w:t>
      </w:r>
    </w:p>
    <w:p>
      <w:pPr>
        <w:pStyle w:val="Normal"/>
        <w:spacing w:lineRule="auto" w:line="240"/>
        <w:jc w:val="center"/>
        <w:rPr>
          <w:rFonts w:ascii="Verdana" w:hAnsi="Verdana" w:cs="Arial"/>
          <w:b/>
          <w:sz w:val="20"/>
          <w:u w:val="single"/>
        </w:rPr>
      </w:pPr>
      <w:r>
        <w:rPr>
          <w:rFonts w:cs="Arial" w:ascii="Verdana" w:hAnsi="Verdana"/>
          <w:b/>
          <w:sz w:val="20"/>
          <w:u w:val="single"/>
        </w:rPr>
      </w:r>
    </w:p>
    <w:p>
      <w:pPr>
        <w:pStyle w:val="Normal"/>
        <w:spacing w:lineRule="auto" w:line="240"/>
        <w:jc w:val="right"/>
        <w:rPr>
          <w:rFonts w:ascii="Verdana" w:hAnsi="Verdana"/>
          <w:sz w:val="20"/>
        </w:rPr>
      </w:pPr>
      <w:r>
        <w:rPr>
          <w:rFonts w:ascii="Verdana" w:hAnsi="Verdana"/>
          <w:sz w:val="20"/>
        </w:rPr>
      </w:r>
    </w:p>
    <w:p>
      <w:pPr>
        <w:pStyle w:val="Nivel1"/>
        <w:spacing w:lineRule="auto" w:line="240" w:before="0" w:after="0"/>
        <w:rPr/>
      </w:pPr>
      <w:r>
        <w:rPr>
          <w:rFonts w:cs="Times New Roman" w:ascii="Verdana" w:hAnsi="Verdana"/>
          <w:bCs/>
          <w:sz w:val="20"/>
          <w:szCs w:val="20"/>
        </w:rPr>
        <w:t>1. DAS CONDIÇÕES GERAIS DA AQUISIÇÃO</w:t>
      </w:r>
    </w:p>
    <w:p>
      <w:pPr>
        <w:pStyle w:val="ListParagraph"/>
        <w:tabs>
          <w:tab w:val="clear" w:pos="708"/>
          <w:tab w:val="left" w:pos="0" w:leader="none"/>
        </w:tabs>
        <w:suppressAutoHyphens w:val="false"/>
        <w:spacing w:lineRule="auto" w:line="240"/>
        <w:ind w:left="0" w:hanging="0"/>
        <w:jc w:val="both"/>
        <w:rPr/>
      </w:pPr>
      <w:r>
        <w:rPr>
          <w:rFonts w:ascii="Verdana" w:hAnsi="Verdana"/>
          <w:iCs/>
          <w:sz w:val="20"/>
          <w:szCs w:val="20"/>
        </w:rPr>
        <w:t>1.1 Abertura de Processo Licitatório para - Registro de preços</w:t>
      </w:r>
      <w:r>
        <w:rPr>
          <w:rFonts w:ascii="Verdana" w:hAnsi="Verdana"/>
          <w:b/>
          <w:bCs/>
          <w:iCs/>
          <w:sz w:val="20"/>
          <w:szCs w:val="20"/>
        </w:rPr>
        <w:t xml:space="preserve"> </w:t>
      </w:r>
      <w:r>
        <w:rPr>
          <w:rFonts w:ascii="Verdana" w:hAnsi="Verdana"/>
          <w:iCs/>
          <w:sz w:val="20"/>
          <w:szCs w:val="20"/>
        </w:rPr>
        <w:t>para aquisição de materiais odontológicos diversos e equipamentos odontológicos para atender as necessidades dos Consultórios odontológicos da Secretaria Municipal de Saúde conforme itens r</w:t>
      </w:r>
      <w:r>
        <w:rPr>
          <w:rFonts w:eastAsia="Times New Roman" w:cs="Times New Roman" w:ascii="Verdana" w:hAnsi="Verdana"/>
          <w:iCs/>
          <w:color w:val="000000"/>
          <w:sz w:val="20"/>
          <w:szCs w:val="20"/>
        </w:rPr>
        <w:t>elacionados e especificados constantes neste TR e ETP, apêndice dos autos, para atender ao período de 01 (um) ano.</w:t>
      </w:r>
    </w:p>
    <w:p>
      <w:pPr>
        <w:pStyle w:val="ListParagraph"/>
        <w:tabs>
          <w:tab w:val="clear" w:pos="708"/>
          <w:tab w:val="left" w:pos="0" w:leader="none"/>
        </w:tabs>
        <w:suppressAutoHyphens w:val="false"/>
        <w:spacing w:lineRule="auto" w:line="240" w:before="0" w:after="0"/>
        <w:ind w:left="0" w:hanging="0"/>
        <w:contextualSpacing/>
        <w:jc w:val="both"/>
        <w:rPr>
          <w:rFonts w:ascii="Verdana" w:hAnsi="Verdana" w:cs="Arial"/>
          <w:b/>
          <w:sz w:val="20"/>
          <w:szCs w:val="20"/>
          <w:u w:val="single"/>
        </w:rPr>
      </w:pPr>
      <w:r>
        <w:rPr>
          <w:rFonts w:cs="Arial" w:ascii="Verdana" w:hAnsi="Verdana"/>
          <w:b/>
          <w:sz w:val="20"/>
          <w:szCs w:val="20"/>
          <w:u w:val="single"/>
        </w:rPr>
      </w:r>
    </w:p>
    <w:tbl>
      <w:tblPr>
        <w:tblW w:w="9584"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961"/>
        <w:gridCol w:w="3820"/>
        <w:gridCol w:w="883"/>
        <w:gridCol w:w="671"/>
        <w:gridCol w:w="1612"/>
        <w:gridCol w:w="1636"/>
      </w:tblGrid>
      <w:tr>
        <w:trPr>
          <w:trHeight w:val="269" w:hRule="atLeast"/>
        </w:trPr>
        <w:tc>
          <w:tcPr>
            <w:tcW w:w="9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center"/>
              <w:rPr/>
            </w:pPr>
            <w:r>
              <w:rPr>
                <w:rFonts w:cs="Arial" w:ascii="Verdana" w:hAnsi="Verdana"/>
                <w:b/>
                <w:bCs/>
                <w:sz w:val="20"/>
              </w:rPr>
              <w:t>Item</w:t>
            </w:r>
          </w:p>
        </w:tc>
        <w:tc>
          <w:tcPr>
            <w:tcW w:w="38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center"/>
              <w:rPr/>
            </w:pPr>
            <w:r>
              <w:rPr>
                <w:rFonts w:cs="Arial" w:ascii="Verdana" w:hAnsi="Verdana"/>
                <w:b/>
                <w:bCs/>
                <w:sz w:val="20"/>
              </w:rPr>
              <w:t>Descrição</w:t>
            </w:r>
          </w:p>
        </w:tc>
        <w:tc>
          <w:tcPr>
            <w:tcW w:w="883" w:type="dxa"/>
            <w:tcBorders>
              <w:top w:val="single" w:sz="4" w:space="0" w:color="000000"/>
              <w:left w:val="single" w:sz="4" w:space="0" w:color="000000"/>
              <w:bottom w:val="single" w:sz="4" w:space="0" w:color="000000"/>
            </w:tcBorders>
            <w:vAlign w:val="center"/>
          </w:tcPr>
          <w:p>
            <w:pPr>
              <w:pStyle w:val="Normal"/>
              <w:widowControl w:val="false"/>
              <w:spacing w:lineRule="auto" w:line="240"/>
              <w:jc w:val="center"/>
              <w:rPr/>
            </w:pPr>
            <w:r>
              <w:rPr>
                <w:rFonts w:cs="Arial" w:ascii="Verdana" w:hAnsi="Verdana"/>
                <w:b/>
                <w:bCs/>
                <w:sz w:val="20"/>
              </w:rPr>
              <w:t>Quant</w:t>
            </w:r>
          </w:p>
        </w:tc>
        <w:tc>
          <w:tcPr>
            <w:tcW w:w="671" w:type="dxa"/>
            <w:tcBorders>
              <w:top w:val="single" w:sz="4" w:space="0" w:color="000000"/>
              <w:left w:val="single" w:sz="4" w:space="0" w:color="000000"/>
              <w:bottom w:val="single" w:sz="4" w:space="0" w:color="000000"/>
            </w:tcBorders>
            <w:vAlign w:val="center"/>
          </w:tcPr>
          <w:p>
            <w:pPr>
              <w:pStyle w:val="Normal"/>
              <w:widowControl w:val="false"/>
              <w:spacing w:lineRule="auto" w:line="240"/>
              <w:jc w:val="center"/>
              <w:rPr>
                <w:u w:val="none"/>
              </w:rPr>
            </w:pPr>
            <w:r>
              <w:rPr>
                <w:rFonts w:cs="Arial" w:ascii="Verdana" w:hAnsi="Verdana"/>
                <w:b/>
                <w:bCs/>
                <w:sz w:val="20"/>
                <w:u w:val="none"/>
              </w:rPr>
              <w:t>UND</w:t>
            </w:r>
          </w:p>
        </w:tc>
        <w:tc>
          <w:tcPr>
            <w:tcW w:w="16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center"/>
              <w:rPr/>
            </w:pPr>
            <w:r>
              <w:rPr>
                <w:rFonts w:cs="Arial" w:ascii="Verdana" w:hAnsi="Verdana"/>
                <w:b/>
                <w:bCs/>
                <w:sz w:val="20"/>
              </w:rPr>
              <w:t>Preço unitário</w:t>
            </w:r>
            <w:r>
              <w:rPr>
                <w:rFonts w:cs="Arial" w:ascii="Verdana" w:hAnsi="Verdana"/>
                <w:b/>
                <w:bCs/>
                <w:sz w:val="20"/>
                <w:u w:val="single"/>
              </w:rPr>
              <w:t xml:space="preserve"> </w:t>
            </w:r>
            <w:r>
              <w:rPr>
                <w:rFonts w:cs="Arial" w:ascii="Verdana" w:hAnsi="Verdana"/>
                <w:b/>
                <w:bCs/>
                <w:sz w:val="20"/>
              </w:rPr>
              <w:t>estimado</w:t>
            </w:r>
          </w:p>
        </w:tc>
        <w:tc>
          <w:tcPr>
            <w:tcW w:w="16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center"/>
              <w:rPr/>
            </w:pPr>
            <w:r>
              <w:rPr>
                <w:rFonts w:cs="Arial" w:ascii="Verdana" w:hAnsi="Verdana"/>
                <w:b/>
                <w:bCs/>
                <w:sz w:val="20"/>
              </w:rPr>
              <w:t>Preço total</w:t>
            </w:r>
            <w:r>
              <w:rPr>
                <w:rFonts w:cs="Arial" w:ascii="Verdana" w:hAnsi="Verdana"/>
                <w:b/>
                <w:bCs/>
                <w:sz w:val="20"/>
                <w:u w:val="single"/>
              </w:rPr>
              <w:t xml:space="preserve"> </w:t>
            </w:r>
            <w:r>
              <w:rPr>
                <w:rFonts w:cs="Arial" w:ascii="Verdana" w:hAnsi="Verdana"/>
                <w:b/>
                <w:bCs/>
                <w:sz w:val="20"/>
              </w:rPr>
              <w:t>estimado</w:t>
            </w:r>
          </w:p>
        </w:tc>
      </w:tr>
      <w:tr>
        <w:trPr>
          <w:trHeight w:val="377"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01</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lang w:eastAsia="zh-CN"/>
              </w:rPr>
              <w:t>Lâmina de Bisturi nº 11 – produto estéril (esterilizado por radiação Gama) (estéril enquanto lacrada), livre de pirogênio, atóxico, descartável, em aço carbono. Fornecido em caixa contendo no mínimo 100 unidades.</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05</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CX</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R$40,71</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R$203,55</w:t>
            </w:r>
          </w:p>
        </w:tc>
      </w:tr>
      <w:tr>
        <w:trPr>
          <w:trHeight w:val="269"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02</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 xml:space="preserve">Lâmina de bisturi nº 15 - </w:t>
            </w:r>
            <w:r>
              <w:rPr>
                <w:rFonts w:ascii="Verdana" w:hAnsi="Verdana"/>
                <w:sz w:val="20"/>
                <w:lang w:eastAsia="zh-CN"/>
              </w:rPr>
              <w:t>produto estéril (esterilizado por radiação Gama) (estéril enquanto lacrada), livre de pirogênio, atóxico, descartável, em aço carbono. Fornecido em caixa contendo no mínimo 100 unidades.</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05</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CX</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R$34,50</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R$172,50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03</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Algodão Rolete – confeccionado com 100% de pureza. Fornecido em pacote contendo no mínimo 100 unidades.</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700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PCT</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R$4,33</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R$3.301,00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04</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Broca carbide nº 01 – 1ª série (Baixa rotação).</w:t>
            </w:r>
          </w:p>
          <w:p>
            <w:pPr>
              <w:pStyle w:val="Normal"/>
              <w:widowControl w:val="false"/>
              <w:spacing w:lineRule="auto" w:line="240"/>
              <w:jc w:val="both"/>
              <w:rPr/>
            </w:pPr>
            <w:r>
              <w:rPr>
                <w:rFonts w:ascii="Verdana" w:hAnsi="Verdana"/>
                <w:sz w:val="20"/>
              </w:rPr>
              <w:t xml:space="preserve">Fabricada com </w:t>
            </w:r>
            <w:r>
              <w:rPr>
                <w:rFonts w:ascii="Verdana" w:hAnsi="Verdana"/>
                <w:color w:val="1A1A1A"/>
                <w:sz w:val="20"/>
              </w:rPr>
              <w:t>100% em tungstênio K20.</w:t>
            </w:r>
          </w:p>
          <w:p>
            <w:pPr>
              <w:pStyle w:val="Normal"/>
              <w:widowControl w:val="false"/>
              <w:spacing w:lineRule="auto" w:line="240"/>
              <w:jc w:val="both"/>
              <w:rPr/>
            </w:pPr>
            <w:r>
              <w:rPr>
                <w:rFonts w:ascii="Verdana" w:hAnsi="Verdana"/>
                <w:color w:val="1A1A1A"/>
                <w:sz w:val="20"/>
              </w:rPr>
              <w:t>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40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R$5,04</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R$201,60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05</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Broca carbide nº 02 – 1ª série (Baixa rotação).</w:t>
            </w:r>
          </w:p>
          <w:p>
            <w:pPr>
              <w:pStyle w:val="Normal"/>
              <w:widowControl w:val="false"/>
              <w:spacing w:lineRule="auto" w:line="240"/>
              <w:jc w:val="both"/>
              <w:rPr/>
            </w:pPr>
            <w:r>
              <w:rPr>
                <w:rFonts w:ascii="Verdana" w:hAnsi="Verdana"/>
                <w:sz w:val="20"/>
              </w:rPr>
              <w:t xml:space="preserve">Fabricada com </w:t>
            </w:r>
            <w:r>
              <w:rPr>
                <w:rFonts w:ascii="Verdana" w:hAnsi="Verdana"/>
                <w:color w:val="1A1A1A"/>
                <w:sz w:val="20"/>
              </w:rPr>
              <w:t>100% em tungstênio K20.</w:t>
            </w:r>
          </w:p>
          <w:p>
            <w:pPr>
              <w:pStyle w:val="Normal"/>
              <w:widowControl w:val="false"/>
              <w:spacing w:lineRule="auto" w:line="240"/>
              <w:jc w:val="both"/>
              <w:rPr/>
            </w:pPr>
            <w:r>
              <w:rPr>
                <w:rFonts w:ascii="Verdana" w:hAnsi="Verdana"/>
                <w:color w:val="1A1A1A"/>
                <w:sz w:val="20"/>
              </w:rPr>
              <w:t>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40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R$5,95</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R$238,00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06</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Broca carbide nº 03 – 1ª série (Baixa rotação).</w:t>
            </w:r>
          </w:p>
          <w:p>
            <w:pPr>
              <w:pStyle w:val="Normal"/>
              <w:widowControl w:val="false"/>
              <w:spacing w:lineRule="auto" w:line="240"/>
              <w:jc w:val="both"/>
              <w:rPr/>
            </w:pPr>
            <w:r>
              <w:rPr>
                <w:rFonts w:ascii="Verdana" w:hAnsi="Verdana"/>
                <w:sz w:val="20"/>
              </w:rPr>
              <w:t xml:space="preserve">Fabricada com </w:t>
            </w:r>
            <w:r>
              <w:rPr>
                <w:rFonts w:ascii="Verdana" w:hAnsi="Verdana"/>
                <w:color w:val="1A1A1A"/>
                <w:sz w:val="20"/>
              </w:rPr>
              <w:t>100% em tungstênio K20.</w:t>
            </w:r>
          </w:p>
          <w:p>
            <w:pPr>
              <w:pStyle w:val="Normal"/>
              <w:widowControl w:val="false"/>
              <w:spacing w:lineRule="auto" w:line="240"/>
              <w:jc w:val="both"/>
              <w:rPr/>
            </w:pPr>
            <w:r>
              <w:rPr>
                <w:rFonts w:ascii="Verdana" w:hAnsi="Verdana"/>
                <w:color w:val="1A1A1A"/>
                <w:sz w:val="20"/>
              </w:rPr>
              <w:t>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40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R$7,16</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R$286,40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07</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Broca carbide nº 04 – 1ª série (Baixa rotação).</w:t>
            </w:r>
          </w:p>
          <w:p>
            <w:pPr>
              <w:pStyle w:val="Normal"/>
              <w:widowControl w:val="false"/>
              <w:spacing w:lineRule="auto" w:line="240"/>
              <w:jc w:val="both"/>
              <w:rPr/>
            </w:pPr>
            <w:r>
              <w:rPr>
                <w:rFonts w:ascii="Verdana" w:hAnsi="Verdana"/>
                <w:sz w:val="20"/>
              </w:rPr>
              <w:t xml:space="preserve">Fabricada com </w:t>
            </w:r>
            <w:r>
              <w:rPr>
                <w:rFonts w:ascii="Verdana" w:hAnsi="Verdana"/>
                <w:color w:val="1A1A1A"/>
                <w:sz w:val="20"/>
              </w:rPr>
              <w:t>100% em tungstênio K20.</w:t>
            </w:r>
          </w:p>
          <w:p>
            <w:pPr>
              <w:pStyle w:val="Normal"/>
              <w:widowControl w:val="false"/>
              <w:spacing w:lineRule="auto" w:line="240"/>
              <w:jc w:val="both"/>
              <w:rPr/>
            </w:pPr>
            <w:r>
              <w:rPr>
                <w:rFonts w:ascii="Verdana" w:hAnsi="Verdana"/>
                <w:color w:val="1A1A1A"/>
                <w:sz w:val="20"/>
              </w:rPr>
              <w:t>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50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R$5,79</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R$289,50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08</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Broca carbide nº 05 – 1ª série (Baixa rotação).</w:t>
            </w:r>
          </w:p>
          <w:p>
            <w:pPr>
              <w:pStyle w:val="Normal"/>
              <w:widowControl w:val="false"/>
              <w:spacing w:lineRule="auto" w:line="240"/>
              <w:jc w:val="both"/>
              <w:rPr/>
            </w:pPr>
            <w:r>
              <w:rPr>
                <w:rFonts w:ascii="Verdana" w:hAnsi="Verdana"/>
                <w:sz w:val="20"/>
              </w:rPr>
              <w:t xml:space="preserve">Fabricada com </w:t>
            </w:r>
            <w:r>
              <w:rPr>
                <w:rFonts w:ascii="Verdana" w:hAnsi="Verdana"/>
                <w:color w:val="1A1A1A"/>
                <w:sz w:val="20"/>
              </w:rPr>
              <w:t>100% em tungstênio K20.</w:t>
            </w:r>
          </w:p>
          <w:p>
            <w:pPr>
              <w:pStyle w:val="Normal"/>
              <w:widowControl w:val="false"/>
              <w:spacing w:lineRule="auto" w:line="240"/>
              <w:jc w:val="both"/>
              <w:rPr/>
            </w:pPr>
            <w:r>
              <w:rPr>
                <w:rFonts w:ascii="Verdana" w:hAnsi="Verdana"/>
                <w:color w:val="1A1A1A"/>
                <w:sz w:val="20"/>
              </w:rPr>
              <w:t>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50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R$8,91</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R$445,50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09</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Broca carbide nº 06 – 1ª série (Baixa rotação).</w:t>
            </w:r>
          </w:p>
          <w:p>
            <w:pPr>
              <w:pStyle w:val="Normal"/>
              <w:widowControl w:val="false"/>
              <w:spacing w:lineRule="auto" w:line="240"/>
              <w:jc w:val="both"/>
              <w:rPr/>
            </w:pPr>
            <w:r>
              <w:rPr>
                <w:rFonts w:ascii="Verdana" w:hAnsi="Verdana"/>
                <w:sz w:val="20"/>
              </w:rPr>
              <w:t xml:space="preserve">Fabricada com </w:t>
            </w:r>
            <w:r>
              <w:rPr>
                <w:rFonts w:ascii="Verdana" w:hAnsi="Verdana"/>
                <w:color w:val="1A1A1A"/>
                <w:sz w:val="20"/>
              </w:rPr>
              <w:t>100% em tungstênio K20.</w:t>
            </w:r>
          </w:p>
          <w:p>
            <w:pPr>
              <w:pStyle w:val="Normal"/>
              <w:widowControl w:val="false"/>
              <w:spacing w:lineRule="auto" w:line="240"/>
              <w:jc w:val="both"/>
              <w:rPr/>
            </w:pPr>
            <w:r>
              <w:rPr>
                <w:rFonts w:ascii="Verdana" w:hAnsi="Verdana"/>
                <w:color w:val="1A1A1A"/>
                <w:sz w:val="20"/>
              </w:rPr>
              <w:t>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40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R$9,04</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R$361,60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10</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Broca carbide nº 07 – 1ª série (Baixa rotação).</w:t>
            </w:r>
          </w:p>
          <w:p>
            <w:pPr>
              <w:pStyle w:val="Normal"/>
              <w:widowControl w:val="false"/>
              <w:spacing w:lineRule="auto" w:line="240"/>
              <w:jc w:val="both"/>
              <w:rPr/>
            </w:pPr>
            <w:r>
              <w:rPr>
                <w:rFonts w:ascii="Verdana" w:hAnsi="Verdana"/>
                <w:sz w:val="20"/>
              </w:rPr>
              <w:t xml:space="preserve">Fabricada com </w:t>
            </w:r>
            <w:r>
              <w:rPr>
                <w:rFonts w:ascii="Verdana" w:hAnsi="Verdana"/>
                <w:color w:val="1A1A1A"/>
                <w:sz w:val="20"/>
              </w:rPr>
              <w:t>100% em tungstênio K20.</w:t>
            </w:r>
          </w:p>
          <w:p>
            <w:pPr>
              <w:pStyle w:val="Normal"/>
              <w:widowControl w:val="false"/>
              <w:spacing w:lineRule="auto" w:line="240"/>
              <w:jc w:val="both"/>
              <w:rPr/>
            </w:pPr>
            <w:r>
              <w:rPr>
                <w:rFonts w:ascii="Verdana" w:hAnsi="Verdana"/>
                <w:color w:val="1A1A1A"/>
                <w:sz w:val="20"/>
              </w:rPr>
              <w:t>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R$9,16</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R$183,20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11</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BROCA CARBIDE 329 – em aço inoxidável. Autoclavável. Tipo de ponto: pêra.</w:t>
            </w:r>
          </w:p>
          <w:p>
            <w:pPr>
              <w:pStyle w:val="Normal"/>
              <w:widowControl w:val="false"/>
              <w:spacing w:lineRule="auto" w:line="240"/>
              <w:jc w:val="both"/>
              <w:rPr/>
            </w:pPr>
            <w:r>
              <w:rPr>
                <w:rFonts w:ascii="Verdana" w:hAnsi="Verdana"/>
                <w:sz w:val="20"/>
              </w:rPr>
              <w:t>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30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R$9,30</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R$279,00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12</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Broca carbide esférica cirurgica nº 04 (Alta rotação).</w:t>
            </w:r>
          </w:p>
          <w:p>
            <w:pPr>
              <w:pStyle w:val="Normal"/>
              <w:widowControl w:val="false"/>
              <w:spacing w:lineRule="auto" w:line="240"/>
              <w:jc w:val="both"/>
              <w:rPr/>
            </w:pPr>
            <w:r>
              <w:rPr>
                <w:rFonts w:ascii="Verdana" w:hAnsi="Verdana"/>
                <w:sz w:val="20"/>
              </w:rPr>
              <w:t>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30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R$10,70</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R$321,00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13</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Broca carbide esférica cirúrgica nº 06 (Alta rotação). 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30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R$9,73</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R$291,90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14</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Ponta Zecrya – medindo 28mm. 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40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R$23,90</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R$956,00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15</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 xml:space="preserve">Ponta 3215 Diamantada 1 série. Caracteristicas: </w:t>
            </w:r>
            <w:r>
              <w:rPr>
                <w:rFonts w:ascii="Verdana" w:hAnsi="Verdana"/>
                <w:color w:val="1C1C1C"/>
                <w:sz w:val="20"/>
              </w:rPr>
              <w:t>Confeccionada em aço de alta resistência e impregnada com diamantes naturais através de eletrólise em embalagem esterilizada por raios gama (*Garantia de esterilização total para o primeiro uso).</w:t>
            </w:r>
          </w:p>
          <w:p>
            <w:pPr>
              <w:pStyle w:val="Normal"/>
              <w:widowControl w:val="false"/>
              <w:spacing w:lineRule="auto" w:line="240"/>
              <w:jc w:val="both"/>
              <w:rPr/>
            </w:pPr>
            <w:r>
              <w:rPr>
                <w:rFonts w:ascii="Verdana" w:hAnsi="Verdana"/>
                <w:color w:val="1C1C1C"/>
                <w:sz w:val="20"/>
              </w:rPr>
              <w:t>Autoclavável.REGISTRO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R$7,50</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R$150,00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16</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 xml:space="preserve">Ponta 3216 Diamantada 1 série. Caracteristicas: </w:t>
            </w:r>
            <w:r>
              <w:rPr>
                <w:rFonts w:ascii="Verdana" w:hAnsi="Verdana"/>
                <w:color w:val="1C1C1C"/>
                <w:sz w:val="20"/>
              </w:rPr>
              <w:t>Confeccionada em aço de alta resistência e impregnada com diamantes naturais através de eletrólise em embalagem esterilizada por raios gama (*Garantia de esterilização total para o primeiro uso).</w:t>
            </w:r>
          </w:p>
          <w:p>
            <w:pPr>
              <w:pStyle w:val="Normal"/>
              <w:widowControl w:val="false"/>
              <w:spacing w:lineRule="auto" w:line="240"/>
              <w:jc w:val="both"/>
              <w:rPr/>
            </w:pPr>
            <w:r>
              <w:rPr>
                <w:rFonts w:ascii="Verdana" w:hAnsi="Verdana"/>
                <w:color w:val="1C1C1C"/>
                <w:sz w:val="20"/>
              </w:rPr>
              <w:t>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R$13,48</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R$269,60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17</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Ponta Pedra Arkanza – CHAMA</w:t>
            </w:r>
          </w:p>
          <w:p>
            <w:pPr>
              <w:pStyle w:val="Normal"/>
              <w:widowControl w:val="false"/>
              <w:spacing w:lineRule="auto" w:line="240"/>
              <w:jc w:val="both"/>
              <w:rPr/>
            </w:pPr>
            <w:r>
              <w:rPr>
                <w:rFonts w:ascii="Verdana" w:hAnsi="Verdana"/>
                <w:color w:val="001D35"/>
                <w:sz w:val="20"/>
              </w:rPr>
              <w:t>Composição: Óxido de alumínio e Arkansas natural, Autoclavável</w:t>
            </w:r>
            <w:r>
              <w:rPr>
                <w:rFonts w:ascii="Verdana" w:hAnsi="Verdana"/>
                <w:sz w:val="20"/>
              </w:rPr>
              <w:t xml:space="preserve"> .</w:t>
            </w:r>
          </w:p>
          <w:p>
            <w:pPr>
              <w:pStyle w:val="Normal"/>
              <w:widowControl w:val="false"/>
              <w:spacing w:lineRule="auto" w:line="240"/>
              <w:jc w:val="both"/>
              <w:rPr/>
            </w:pPr>
            <w:r>
              <w:rPr>
                <w:rFonts w:ascii="Verdana" w:hAnsi="Verdana"/>
                <w:sz w:val="20"/>
              </w:rPr>
              <w:t>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30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R$11,73</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R$351,90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18</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 xml:space="preserve">ANESTÉSICO LIDOCAÍNA 2% COM EPINEFRINA – 1.100.000. Fornecido em caixa contendo no mínimo 50 tubetes.(tubetes de cristal) </w:t>
            </w:r>
            <w:r>
              <w:rPr>
                <w:rFonts w:ascii="Verdana" w:hAnsi="Verdana"/>
                <w:color w:val="1C1C1C"/>
                <w:sz w:val="20"/>
              </w:rPr>
              <w:t>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CX</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R$204,40</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R$40.880,00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19</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 xml:space="preserve">ANESTÉSICO PRILOCAÍNA COM FELIPRESSINA 3%.  Fornecido em caixa contendo no mínimo 50 tubetes.(tubetes de cristal) </w:t>
            </w:r>
            <w:r>
              <w:rPr>
                <w:rFonts w:ascii="Verdana" w:hAnsi="Verdana"/>
                <w:color w:val="1C1C1C"/>
                <w:sz w:val="20"/>
              </w:rPr>
              <w:t>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CX</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R$185,76</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R$37.152,00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20</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 xml:space="preserve">ANESTÉSICO TÓPICO – FORNECIDO EM POTE CONTENDO NO MÍNIMO 12 GRAMAS. </w:t>
            </w:r>
            <w:r>
              <w:rPr>
                <w:rFonts w:ascii="Verdana" w:hAnsi="Verdana"/>
                <w:color w:val="1C1C1C"/>
                <w:sz w:val="20"/>
              </w:rPr>
              <w:t>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POTE</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R$10,66</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R$1.066,00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21</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 xml:space="preserve">ANESTÉSICO LIDOCAÍNA SEM VASO CONSTRITOR. Fornecido em caixa contendo no mínimo 50 tubetes. </w:t>
            </w:r>
            <w:r>
              <w:rPr>
                <w:rFonts w:ascii="Verdana" w:hAnsi="Verdana"/>
                <w:color w:val="1C1C1C"/>
                <w:sz w:val="20"/>
              </w:rPr>
              <w:t>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CX</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R$249,00</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R$2.490,00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22</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 xml:space="preserve">CLORIDRATO DE MEPIVACAINA 3% SEM VASOCONSTRITOR – fornecido em caixa contendo no minimo 5 tubetes de cristal. </w:t>
            </w:r>
            <w:r>
              <w:rPr>
                <w:rFonts w:ascii="Verdana" w:hAnsi="Verdana"/>
                <w:color w:val="1C1C1C"/>
                <w:sz w:val="20"/>
              </w:rPr>
              <w:t>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CX</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R$168,69</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R$3.373,80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23</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Escova dental adulto cerdas de nylon macias, com 04 (quatro) fileiras de tufos, com no mínimo 34 tufos de cerdas aparadas e arredondas uniformemente na mesma altura, com feixes de cerdas homogêneas, escova compacta, cabo opaco, anatômico, em polopropileno atóxico, medindo aproximadamente 17 cm de comprimento. A escova deve conter a marca impressa em relevo no cabo. Possui certificado de controle de qualidade da ABO (Associação Brasileira de Odontologia) e Registro no Ministério da Saúde/ANVISA, de acordo com a portaria nº 97, de 26 de junho de 1996. Emablada individualmente com estojo plástico protetor de cerdas, tipo maleta, em saquinho plástico lacrado, tipo flow Pack.</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R$0,78</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R$1.560,00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24</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Escova dental infantil cerdas de nylon macias, com 04 (quatro) fileiras de tufos, com no mínimo 34 tufos de cerdas aparadas e arredondadas uniformemente na mesma altura, com feixes de cerdas homogêneas, escova compacta, cabo opaco, anatômico, em polopropileno atóxico, medindo aproximadamente 15 cm de comprimento. A escova deve conter a marca impressa em relevo no cabo. Possuir certificado de controle de qualidade da ABO (Associação Brasileira de Odontologia) e Registro no Ministério da Saúde/ANVISA, de acordo com a portaria nº 97, de 26 de junho de 1996. Embalada individualmente com estojo plástico protetor de cerdas, tipo maleta, em saquinho plástico lacrado, tipo flow Pack.</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3.000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R$6,12</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R$18.360,00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25</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Fio dental em poliamida, cera e aroma, embalagem pocket, com tampa flip – rolo de 500 metros</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50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ROLO</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R$12,07</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R$603,50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26</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Fio dental em poliamida, cera e aroma, embalagem pocket, com tampa flip – rolo de 50 metros</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5.000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R$9,64</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R$48.200,00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27</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Amalgama em cápsula – 1 porção:</w:t>
            </w:r>
          </w:p>
          <w:p>
            <w:pPr>
              <w:pStyle w:val="ListParagraph"/>
              <w:widowControl w:val="false"/>
              <w:numPr>
                <w:ilvl w:val="0"/>
                <w:numId w:val="1"/>
              </w:numPr>
              <w:spacing w:lineRule="auto" w:line="240"/>
              <w:jc w:val="both"/>
              <w:rPr/>
            </w:pPr>
            <w:r>
              <w:rPr>
                <w:rFonts w:cs="Arial" w:ascii="Verdana" w:hAnsi="Verdana"/>
                <w:color w:val="000000"/>
                <w:sz w:val="20"/>
                <w:szCs w:val="20"/>
              </w:rPr>
              <w:t>Liga de amálgama em cápsula 1 (uma) porção, contendo prata, cobre e  estanho, isenta da fase Gama II, resistente à compressão, ultra fina, devendo resultar em uma superfície lisa e brilhante.</w:t>
            </w:r>
          </w:p>
          <w:p>
            <w:pPr>
              <w:pStyle w:val="ListParagraph"/>
              <w:widowControl w:val="false"/>
              <w:numPr>
                <w:ilvl w:val="0"/>
                <w:numId w:val="37"/>
              </w:numPr>
              <w:spacing w:lineRule="auto" w:line="240" w:before="0" w:after="200"/>
              <w:contextualSpacing/>
              <w:jc w:val="both"/>
              <w:rPr/>
            </w:pPr>
            <w:r>
              <w:rPr>
                <w:rFonts w:cs="Arial" w:ascii="Verdana" w:hAnsi="Verdana"/>
                <w:color w:val="000000"/>
                <w:sz w:val="20"/>
                <w:szCs w:val="20"/>
              </w:rPr>
              <w:t>Apresentação: Acondicionadas em potes com 50 cápsulas de 1 (uma) porção.</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POTE</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R$118,95</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R$1.189,50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28</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Amalgama cápsula com 2 porções:</w:t>
            </w:r>
          </w:p>
          <w:p>
            <w:pPr>
              <w:pStyle w:val="ListParagraph"/>
              <w:widowControl w:val="false"/>
              <w:numPr>
                <w:ilvl w:val="0"/>
                <w:numId w:val="38"/>
              </w:numPr>
              <w:spacing w:lineRule="auto" w:line="240"/>
              <w:jc w:val="both"/>
              <w:rPr/>
            </w:pPr>
            <w:r>
              <w:rPr>
                <w:rFonts w:cs="Arial" w:ascii="Verdana" w:hAnsi="Verdana"/>
                <w:color w:val="000000"/>
                <w:sz w:val="20"/>
                <w:szCs w:val="20"/>
              </w:rPr>
              <w:t>Liga de amálgama em cápsula 2 (duas) porções, contendo prata, cobre e estanho, isenta da fase Gama II, resistente à compressão, ultra fina, devendo resultar em uma superfície lisa e brilhante.</w:t>
            </w:r>
          </w:p>
          <w:p>
            <w:pPr>
              <w:pStyle w:val="ListParagraph"/>
              <w:widowControl w:val="false"/>
              <w:numPr>
                <w:ilvl w:val="0"/>
                <w:numId w:val="39"/>
              </w:numPr>
              <w:spacing w:lineRule="auto" w:line="240" w:before="0" w:after="200"/>
              <w:contextualSpacing/>
              <w:jc w:val="both"/>
              <w:rPr/>
            </w:pPr>
            <w:r>
              <w:rPr>
                <w:rFonts w:cs="Arial" w:ascii="Verdana" w:hAnsi="Verdana"/>
                <w:color w:val="000000"/>
                <w:sz w:val="20"/>
                <w:szCs w:val="20"/>
              </w:rPr>
              <w:t>Apresentação: Acondicionadas em potes com 50 cápsulas de 2 (duas) porções.</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POTE</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R$223,16</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R$2.231,60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29</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Película radiográfica adulto (periapical) – caixa contendo 150 unidades de boa qualidade</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15</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CX</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R$201,67</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R$3.025,05</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30</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Película radiográfica infantil (periapical) – caixa contendo 150 unidades de boa qualidade</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05</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CX</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R$268,93</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R$1.344,65</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31</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Hidróxido cálcio radiopaco sistema pasta base:</w:t>
            </w:r>
          </w:p>
          <w:p>
            <w:pPr>
              <w:pStyle w:val="ListParagraph"/>
              <w:widowControl w:val="false"/>
              <w:numPr>
                <w:ilvl w:val="0"/>
                <w:numId w:val="40"/>
              </w:numPr>
              <w:spacing w:lineRule="auto" w:line="240" w:before="0" w:after="200"/>
              <w:contextualSpacing/>
              <w:jc w:val="both"/>
              <w:rPr/>
            </w:pPr>
            <w:r>
              <w:rPr>
                <w:rFonts w:cs="Arial" w:ascii="Verdana" w:hAnsi="Verdana"/>
                <w:color w:val="000000"/>
                <w:sz w:val="20"/>
                <w:szCs w:val="20"/>
              </w:rPr>
              <w:t>Caixa kit contendo 13g de base e 11g de catalisador.</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40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CX</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R$30,89</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R$1.235,60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32</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Hidróxido de cálcio PA – contendo 10 gramas</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FRASCO</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R$5,61</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R$112,20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33</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Matriz aço inox de 0,05 x 7 x 500mm cada rolo: rolo contendo 500mm</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ROLO</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R$3,40</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R$340,00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34</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Matriz de aço 0,05 x 5 x 500 mm cada rolo: rolo contendo 500mm</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ROLO</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R$2,40</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R$480,00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35</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Óleo para alta rotação:</w:t>
            </w:r>
          </w:p>
          <w:p>
            <w:pPr>
              <w:pStyle w:val="ListParagraph"/>
              <w:widowControl w:val="false"/>
              <w:numPr>
                <w:ilvl w:val="0"/>
                <w:numId w:val="41"/>
              </w:numPr>
              <w:spacing w:lineRule="auto" w:line="240" w:before="0" w:after="200"/>
              <w:contextualSpacing/>
              <w:jc w:val="both"/>
              <w:rPr/>
            </w:pPr>
            <w:r>
              <w:rPr>
                <w:rFonts w:cs="Arial" w:ascii="Verdana" w:hAnsi="Verdana"/>
                <w:color w:val="000000"/>
                <w:sz w:val="20"/>
                <w:szCs w:val="20"/>
              </w:rPr>
              <w:t>Frasco contendo no mínimo 100ml em spray</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70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FRASCO</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R$56,63</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R$3.964,10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36</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Óleo para baixa rotação:</w:t>
            </w:r>
          </w:p>
          <w:p>
            <w:pPr>
              <w:pStyle w:val="ListParagraph"/>
              <w:widowControl w:val="false"/>
              <w:numPr>
                <w:ilvl w:val="0"/>
                <w:numId w:val="42"/>
              </w:numPr>
              <w:spacing w:lineRule="auto" w:line="240" w:before="0" w:after="200"/>
              <w:contextualSpacing/>
              <w:jc w:val="both"/>
              <w:rPr/>
            </w:pPr>
            <w:r>
              <w:rPr>
                <w:rFonts w:cs="Arial" w:ascii="Verdana" w:hAnsi="Verdana"/>
                <w:color w:val="000000"/>
                <w:sz w:val="20"/>
                <w:szCs w:val="20"/>
              </w:rPr>
              <w:t>Frasco contendo no mínimo 100ml em spray</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70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FRASCO</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R$22,02</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R$1.541,40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37</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Resina universal fotopolimerizável, matriz inorgârnica de zircônia/silíca com 84,5% em peso e 66% em volume; matriz orgânica de BIS-GMA e  TEGDMA. Seringa com 4g na</w:t>
            </w:r>
            <w:r>
              <w:rPr>
                <w:rFonts w:cs="Arial" w:ascii="Verdana" w:hAnsi="Verdana"/>
                <w:b/>
                <w:bCs/>
                <w:color w:val="000000"/>
                <w:sz w:val="20"/>
                <w:szCs w:val="20"/>
              </w:rPr>
              <w:t xml:space="preserve"> cor A1.</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40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R$41,71</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R$1.668,40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38</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Resina universal fotopolimerizável, matriz inogârnica de zircônia/silíca com 84,5% em peso e 66% em volume; matriz orgânica de BIS-GMA e  TEGDMA. Seringa com 4g na</w:t>
            </w:r>
            <w:r>
              <w:rPr>
                <w:rFonts w:cs="Arial" w:ascii="Verdana" w:hAnsi="Verdana"/>
                <w:b/>
                <w:bCs/>
                <w:color w:val="000000"/>
                <w:sz w:val="20"/>
                <w:szCs w:val="20"/>
              </w:rPr>
              <w:t xml:space="preserve"> cor A2.</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R$34,82</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R$3.482,00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39</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 xml:space="preserve">Resina universal fotopolimerizável, matriz inogârnica de zircônia/silíca com 84,5% em peso e 66% em volume; matriz orgânica de BIS-GMA e  TEGDMA. Seringa com 4g na </w:t>
            </w:r>
            <w:r>
              <w:rPr>
                <w:rFonts w:cs="Arial" w:ascii="Verdana" w:hAnsi="Verdana"/>
                <w:b/>
                <w:bCs/>
                <w:color w:val="000000"/>
                <w:sz w:val="20"/>
                <w:szCs w:val="20"/>
              </w:rPr>
              <w:t>cor A3.</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R$44,37</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R$4.437,00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40</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 xml:space="preserve">Resina universal fotopolimerizável, matriz inogârnica de zircônia/silíca com 84,5% em peso e 66% em volume; matriz orgânica de BIS-GMA e  TEGDMA. Seringa com 4g na cor </w:t>
            </w:r>
            <w:r>
              <w:rPr>
                <w:rFonts w:cs="Arial" w:ascii="Verdana" w:hAnsi="Verdana"/>
                <w:b/>
                <w:bCs/>
                <w:color w:val="000000"/>
                <w:sz w:val="20"/>
                <w:szCs w:val="20"/>
              </w:rPr>
              <w:t>A3,5.</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R$68,30</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R$6.830,00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41</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Resina restauradora microhibrida – cor B1 – refil 4g</w:t>
            </w:r>
          </w:p>
          <w:p>
            <w:pPr>
              <w:pStyle w:val="Normal"/>
              <w:widowControl w:val="false"/>
              <w:spacing w:lineRule="auto" w:line="240"/>
              <w:jc w:val="both"/>
              <w:rPr/>
            </w:pPr>
            <w:r>
              <w:rPr>
                <w:rFonts w:ascii="Verdana" w:hAnsi="Verdana"/>
                <w:sz w:val="20"/>
              </w:rPr>
              <w:t>Tamanho das partículas de 0,5 micrometro; porcentagem por volume de carga inorgânica total de 59% em dentina e 58,5% em esmalte e incisal; porcentagem por peso de carga inorgânica e incisal; porcentagem por peso de carga inorgânica de 78% em dentina e 77% em esmalte incisal; radiopaca pela ação de cristais de bario atomizados; fluorescência que não adere ao instrumental.</w:t>
            </w:r>
          </w:p>
          <w:p>
            <w:pPr>
              <w:pStyle w:val="Normal"/>
              <w:widowControl w:val="false"/>
              <w:spacing w:lineRule="auto" w:line="240"/>
              <w:jc w:val="both"/>
              <w:rPr/>
            </w:pPr>
            <w:r>
              <w:rPr>
                <w:rFonts w:ascii="Verdana" w:hAnsi="Verdana"/>
                <w:sz w:val="20"/>
              </w:rPr>
              <w:t>Apresentação: seringas  com 4 gramas nas cores esmalte. Cor B1 refil 4g.</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R$34,46</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R$689,20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42</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Resina restauradora microhibrida – cor B2 – refil 4g</w:t>
            </w:r>
          </w:p>
          <w:p>
            <w:pPr>
              <w:pStyle w:val="Normal"/>
              <w:widowControl w:val="false"/>
              <w:spacing w:lineRule="auto" w:line="240"/>
              <w:jc w:val="both"/>
              <w:rPr/>
            </w:pPr>
            <w:r>
              <w:rPr>
                <w:rFonts w:ascii="Verdana" w:hAnsi="Verdana"/>
                <w:sz w:val="20"/>
              </w:rPr>
              <w:t>Tamanho das partículas de 0,5 micrometro; porcentagem por volume de carga inorgânica total de 59% em dentina e 58,5% em esmalte e incisal; porcentagem por peso de carga inorgânica e incisal; porcentagem por peso de carga inorgânica de 78% em dentina e 77% em esmalte incisal; radiopaca pela ação de cristais de bario atomizados; fluorescência que não adere ao instrumental.</w:t>
            </w:r>
          </w:p>
          <w:p>
            <w:pPr>
              <w:pStyle w:val="Normal"/>
              <w:widowControl w:val="false"/>
              <w:spacing w:lineRule="auto" w:line="240"/>
              <w:jc w:val="both"/>
              <w:rPr/>
            </w:pPr>
            <w:r>
              <w:rPr>
                <w:rFonts w:ascii="Verdana" w:hAnsi="Verdana"/>
                <w:sz w:val="20"/>
              </w:rPr>
              <w:t>Apresentação: seringas  com 4 gramas nas cores esmalte. Cor B2refil 4g.</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50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R$58,70</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R$2.935,00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43</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Resina restauradora microhibrida – cor B3 – refil 4g</w:t>
            </w:r>
          </w:p>
          <w:p>
            <w:pPr>
              <w:pStyle w:val="Normal"/>
              <w:widowControl w:val="false"/>
              <w:spacing w:lineRule="auto" w:line="240"/>
              <w:jc w:val="both"/>
              <w:rPr/>
            </w:pPr>
            <w:r>
              <w:rPr>
                <w:rFonts w:ascii="Verdana" w:hAnsi="Verdana"/>
                <w:sz w:val="20"/>
              </w:rPr>
              <w:t>Tamanho das partículas de 0,5 micrometro; porcentagem por volume de carga inorgânica total de 59% em dentina e 58,5% em esmalte e incisal; porcentagem por peso de carga inorgânica e incisal; porcentagem por peso de carga inorgânica de 78% em dentina e 77% em esmalte incisal; radiopaca pela ação de cristais de bario atomizados; fluorescência que não adere ao instrumental.</w:t>
            </w:r>
          </w:p>
          <w:p>
            <w:pPr>
              <w:pStyle w:val="Normal"/>
              <w:widowControl w:val="false"/>
              <w:spacing w:lineRule="auto" w:line="240"/>
              <w:jc w:val="both"/>
              <w:rPr/>
            </w:pPr>
            <w:r>
              <w:rPr>
                <w:rFonts w:ascii="Verdana" w:hAnsi="Verdana"/>
                <w:sz w:val="20"/>
              </w:rPr>
              <w:t>Apresentação: seringas  com 4 gramas nas cores esmalte. Cor B3 refil 4g.</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50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R$68,43</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R$3.421,50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44</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Resina restauradora microhibrida – cor A1 – refil 4g</w:t>
            </w:r>
          </w:p>
          <w:p>
            <w:pPr>
              <w:pStyle w:val="Normal"/>
              <w:widowControl w:val="false"/>
              <w:spacing w:lineRule="auto" w:line="240"/>
              <w:jc w:val="both"/>
              <w:rPr/>
            </w:pPr>
            <w:r>
              <w:rPr>
                <w:rFonts w:ascii="Verdana" w:hAnsi="Verdana"/>
                <w:sz w:val="20"/>
              </w:rPr>
              <w:t>Tamanho das partículas de 0,5 micrometro; porcentagem por volume de carga inorgânica total de 59% em dentina e 58,5% em esmalte e incisal; porcentagem por peso de carga inorgânica e incisal; porcentagem por peso de carga inorgânica de 78% em dentina e 77% em esmalte incisal; radiopaca pela ação de cristais de bario atomizados; fluorescência que não adere ao instrumental.</w:t>
            </w:r>
          </w:p>
          <w:p>
            <w:pPr>
              <w:pStyle w:val="Normal"/>
              <w:widowControl w:val="false"/>
              <w:spacing w:lineRule="auto" w:line="240"/>
              <w:jc w:val="both"/>
              <w:rPr/>
            </w:pPr>
            <w:r>
              <w:rPr>
                <w:rFonts w:ascii="Verdana" w:hAnsi="Verdana"/>
                <w:sz w:val="20"/>
              </w:rPr>
              <w:t>Apresentação: seringas  com 4 gramas nas cores esmalte. Cor A1 refil 4g.</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R$39,05</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R$781,00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45</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Resina restauradora microhibrida – cor A2 – refil 4g</w:t>
            </w:r>
          </w:p>
          <w:p>
            <w:pPr>
              <w:pStyle w:val="Normal"/>
              <w:widowControl w:val="false"/>
              <w:spacing w:lineRule="auto" w:line="240"/>
              <w:jc w:val="both"/>
              <w:rPr/>
            </w:pPr>
            <w:r>
              <w:rPr>
                <w:rFonts w:ascii="Verdana" w:hAnsi="Verdana"/>
                <w:sz w:val="20"/>
              </w:rPr>
              <w:t>Tamanho das partículas de 0,5 micrometro; porcentagem por volume de carga inorgânica total de 59% em dentina e 58,5% em esmalte e incisal; porcentagem por peso de carga inorgânica e incisal; porcentagem por peso de carga inorgânica de 78% em dentina e 77% em esmalte incisal; radiopaca pela ação de cristais de bario atomizados; fluorescência que não adere ao instrumental.</w:t>
            </w:r>
          </w:p>
          <w:p>
            <w:pPr>
              <w:pStyle w:val="Normal"/>
              <w:widowControl w:val="false"/>
              <w:spacing w:lineRule="auto" w:line="240"/>
              <w:jc w:val="both"/>
              <w:rPr/>
            </w:pPr>
            <w:r>
              <w:rPr>
                <w:rFonts w:ascii="Verdana" w:hAnsi="Verdana"/>
                <w:sz w:val="20"/>
              </w:rPr>
              <w:t>Apresentação: seringas  com 4 gramas nas cores esmalte. Cor A2refil 4g.</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R$46,49</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R$929,80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46</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Resina restauradora microhibrida – cor A3 – refil 4g</w:t>
            </w:r>
          </w:p>
          <w:p>
            <w:pPr>
              <w:pStyle w:val="Normal"/>
              <w:widowControl w:val="false"/>
              <w:spacing w:lineRule="auto" w:line="240"/>
              <w:jc w:val="both"/>
              <w:rPr/>
            </w:pPr>
            <w:r>
              <w:rPr>
                <w:rFonts w:ascii="Verdana" w:hAnsi="Verdana"/>
                <w:sz w:val="20"/>
              </w:rPr>
              <w:t>Tamanho das partículas de 0,5 micrometro; porcentagem por volume de carga inorgânica total de 59% em dentina e 58,5% em esmalte e incisal; porcentagem por peso de carga inorgânica e incisal; porcentagem por peso de carga inorgânica de 78% em dentina e 77% em esmalte incisal; radiopaca pela ação de cristais de bario atomizados; fluorescência que não adere ao instrumental.</w:t>
            </w:r>
          </w:p>
          <w:p>
            <w:pPr>
              <w:pStyle w:val="Normal"/>
              <w:widowControl w:val="false"/>
              <w:spacing w:lineRule="auto" w:line="240"/>
              <w:jc w:val="both"/>
              <w:rPr/>
            </w:pPr>
            <w:r>
              <w:rPr>
                <w:rFonts w:ascii="Verdana" w:hAnsi="Verdana"/>
                <w:sz w:val="20"/>
              </w:rPr>
              <w:t>Apresentação: seringas  com 4 gramas nas cores esmalte. Cor A3 refil 4g.</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50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R$53,65</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R$2.682,50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47</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Resina restauradora microhibrida – cor A3,5 – refil 4g</w:t>
            </w:r>
          </w:p>
          <w:p>
            <w:pPr>
              <w:pStyle w:val="Normal"/>
              <w:widowControl w:val="false"/>
              <w:spacing w:lineRule="auto" w:line="240"/>
              <w:jc w:val="both"/>
              <w:rPr/>
            </w:pPr>
            <w:r>
              <w:rPr>
                <w:rFonts w:ascii="Verdana" w:hAnsi="Verdana"/>
                <w:sz w:val="20"/>
              </w:rPr>
              <w:t>Tamanho das partículas de 0,5 micrometro; porcentagem por volume de carga inorgânica total de 59% em dentina e 58,5% em esmalte e incisal; porcentagem por peso de carga inorgânica e incisal; porcentagem por peso de carga inorgânica de 78% em dentina e 77% em esmalte incisal; radiopaca pela ação de cristais de bario atomizados; fluorescência que não adere ao instrumental.</w:t>
            </w:r>
          </w:p>
          <w:p>
            <w:pPr>
              <w:pStyle w:val="Normal"/>
              <w:widowControl w:val="false"/>
              <w:spacing w:lineRule="auto" w:line="240"/>
              <w:jc w:val="both"/>
              <w:rPr/>
            </w:pPr>
            <w:r>
              <w:rPr>
                <w:rFonts w:ascii="Verdana" w:hAnsi="Verdana"/>
                <w:sz w:val="20"/>
              </w:rPr>
              <w:t>Apresentação: seringas  com 4 gramas nas cores esmalte. Cor A3,5 refil 4g.</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50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R$60,18</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R$3.009,00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48</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Resina composta fotoativada de baixa viscosidade. Tixotrópica;</w:t>
            </w:r>
          </w:p>
          <w:p>
            <w:pPr>
              <w:pStyle w:val="ListParagraph"/>
              <w:widowControl w:val="false"/>
              <w:numPr>
                <w:ilvl w:val="0"/>
                <w:numId w:val="43"/>
              </w:numPr>
              <w:spacing w:lineRule="auto" w:line="240" w:before="0" w:after="200"/>
              <w:contextualSpacing/>
              <w:jc w:val="both"/>
              <w:rPr/>
            </w:pPr>
            <w:r>
              <w:rPr>
                <w:rFonts w:cs="Arial" w:ascii="Verdana" w:hAnsi="Verdana"/>
                <w:color w:val="000000"/>
                <w:sz w:val="20"/>
                <w:szCs w:val="20"/>
              </w:rPr>
              <w:t xml:space="preserve">Apresentação: Seringa com 1,2g com 3 pontas aplicadoras, nas cores da escala VITA E COR GENGIVA. </w:t>
            </w:r>
            <w:r>
              <w:rPr>
                <w:rFonts w:cs="Arial" w:ascii="Verdana" w:hAnsi="Verdana"/>
                <w:b/>
                <w:bCs/>
                <w:color w:val="000000"/>
                <w:sz w:val="20"/>
                <w:szCs w:val="20"/>
              </w:rPr>
              <w:t>Cor A2</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80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R$30,54</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R$2.443,20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49</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Peça reta:</w:t>
            </w:r>
          </w:p>
          <w:p>
            <w:pPr>
              <w:pStyle w:val="Default"/>
              <w:widowControl w:val="false"/>
              <w:numPr>
                <w:ilvl w:val="0"/>
                <w:numId w:val="44"/>
              </w:numPr>
              <w:spacing w:lineRule="auto" w:line="240"/>
              <w:jc w:val="both"/>
              <w:rPr/>
            </w:pPr>
            <w:r>
              <w:rPr>
                <w:rFonts w:ascii="Verdana" w:hAnsi="Verdana"/>
                <w:b/>
                <w:bCs/>
                <w:sz w:val="20"/>
                <w:szCs w:val="20"/>
              </w:rPr>
              <w:t>PEÇA RETA</w:t>
            </w:r>
            <w:r>
              <w:rPr>
                <w:rFonts w:ascii="Verdana" w:hAnsi="Verdana"/>
                <w:sz w:val="20"/>
                <w:szCs w:val="20"/>
              </w:rPr>
              <w:t xml:space="preserve"> com corpo em aço inoxidável e esterilizável em autoclave e acoplável ao micromotor intra, Deve possuir sistema de rotor com cartucho e rolamento encapsulado, transmissão 1:1, giro 360º no micromotor e rotação de 40.000 rpm mais ou menos 10%. Deve suportar autoclavagem com temperatura de 135ºc. Deve possuir certificado do Inmetro, comprovando através de gravação a laser na própria peça e certificado em nome do fabricante.</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02</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R$830,34</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R$1.660,68</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50</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Peça de mão alta rotação:</w:t>
            </w:r>
          </w:p>
          <w:p>
            <w:pPr>
              <w:pStyle w:val="Default"/>
              <w:widowControl w:val="false"/>
              <w:numPr>
                <w:ilvl w:val="0"/>
                <w:numId w:val="45"/>
              </w:numPr>
              <w:spacing w:lineRule="auto" w:line="240"/>
              <w:jc w:val="both"/>
              <w:rPr/>
            </w:pPr>
            <w:r>
              <w:rPr>
                <w:rFonts w:ascii="Verdana" w:hAnsi="Verdana"/>
                <w:b/>
                <w:bCs/>
                <w:sz w:val="20"/>
                <w:szCs w:val="20"/>
              </w:rPr>
              <w:t>ALTA ROTAÇÃO</w:t>
            </w:r>
            <w:r>
              <w:rPr>
                <w:rFonts w:ascii="Verdana" w:hAnsi="Verdana"/>
                <w:sz w:val="20"/>
                <w:szCs w:val="20"/>
              </w:rPr>
              <w:t xml:space="preserve"> composto por turbina de alta rotação com 400.000 rpm mais ou menos 10%, esterilizável em autoclave, deve ter corpo em aço inoxidável, sistema push button, a cabeça deve medir no máximo (12,5x13,5mm), deve possuir no mínimo 3 saídas de spray, rolamentos de cerâmica e sistema que evita entrada de resíduos na cabeça. Deve ter potência mínima de 27W. Deve suportar autoclavagem com temperatura de 135ºc.  Deve possuir certificado do Inmetro, comprovando através de gravação a laser na própria peça e certificado em nome do fabricante. Deve possuir sistema de rotor com cartucho e rolamento encapsulado.</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12</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R$961,75</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R$11.541,00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51</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Peça de mão micro motor sem spray:</w:t>
            </w:r>
          </w:p>
          <w:p>
            <w:pPr>
              <w:pStyle w:val="Default"/>
              <w:widowControl w:val="false"/>
              <w:numPr>
                <w:ilvl w:val="0"/>
                <w:numId w:val="3"/>
              </w:numPr>
              <w:spacing w:lineRule="auto" w:line="240"/>
              <w:jc w:val="both"/>
              <w:rPr/>
            </w:pPr>
            <w:r>
              <w:rPr>
                <w:rFonts w:ascii="Verdana" w:hAnsi="Verdana"/>
                <w:b/>
                <w:bCs/>
                <w:sz w:val="20"/>
                <w:szCs w:val="20"/>
              </w:rPr>
              <w:t>MICRO MOTOR</w:t>
            </w:r>
            <w:r>
              <w:rPr>
                <w:rFonts w:ascii="Verdana" w:hAnsi="Verdana"/>
                <w:sz w:val="20"/>
                <w:szCs w:val="20"/>
              </w:rPr>
              <w:t xml:space="preserve"> com rotação de 25.000 rpm mais ou menos 10%, sistema de encaixe rápido das pontas com giro de 360º de peças acopladas e encaixe borden. Corpo deve ser em aço inoxidável. Deve possuir certificado do Inmetro, comprovando através de gravação a laser na própria peça e certificado em nome do fabricante. Deve suportar autoclavagem com temperatura de 135ºc.</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12</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R$702,33</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R$8.427,96</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52</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Peça de mão contra ângulo:</w:t>
            </w:r>
          </w:p>
          <w:p>
            <w:pPr>
              <w:pStyle w:val="Default"/>
              <w:widowControl w:val="false"/>
              <w:numPr>
                <w:ilvl w:val="0"/>
                <w:numId w:val="46"/>
              </w:numPr>
              <w:spacing w:lineRule="auto" w:line="240"/>
              <w:jc w:val="both"/>
              <w:rPr/>
            </w:pPr>
            <w:r>
              <w:rPr>
                <w:rFonts w:ascii="Verdana" w:hAnsi="Verdana"/>
                <w:b/>
                <w:bCs/>
                <w:sz w:val="20"/>
                <w:szCs w:val="20"/>
              </w:rPr>
              <w:t>CONTRA ANGULO</w:t>
            </w:r>
            <w:r>
              <w:rPr>
                <w:rFonts w:ascii="Verdana" w:hAnsi="Verdana"/>
                <w:sz w:val="20"/>
                <w:szCs w:val="20"/>
              </w:rPr>
              <w:t xml:space="preserve"> com cabeça reduzida, com corpo em aço inoxidável e esterilizável em autoclave e acoplável ao micromotor intra, Deve possuir sistema de rotor com cartucho e rolamento encapsulado, transmissão 1:1, giro 360º no micromotor e rotação de 20.000 rpm mais ou manos 10%. Deve possuir sistema de cabeça limpa, anti refluxo. Deve suportar autoclavagem com temperatura de 135ºc.  Deve possuir certificado do Inmetro, comprovando através de gravação a laser na própria peça e certificado em nome do fabricante.</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12</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R$814,41</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R$9.772,92</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53</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Bobina papel grau cirúrgico:</w:t>
            </w:r>
          </w:p>
          <w:p>
            <w:pPr>
              <w:pStyle w:val="ListParagraph"/>
              <w:widowControl w:val="false"/>
              <w:numPr>
                <w:ilvl w:val="0"/>
                <w:numId w:val="47"/>
              </w:numPr>
              <w:spacing w:lineRule="auto" w:line="240"/>
              <w:jc w:val="both"/>
              <w:rPr/>
            </w:pPr>
            <w:r>
              <w:rPr>
                <w:rFonts w:cs="Arial" w:ascii="Verdana" w:hAnsi="Verdana"/>
                <w:color w:val="000000"/>
                <w:sz w:val="20"/>
                <w:szCs w:val="20"/>
              </w:rPr>
              <w:t>Bobinas lisas, produzidas em papel grau cirúrgico e filme laminado (poliéster/polipropileno);</w:t>
            </w:r>
          </w:p>
          <w:p>
            <w:pPr>
              <w:pStyle w:val="ListParagraph"/>
              <w:widowControl w:val="false"/>
              <w:numPr>
                <w:ilvl w:val="0"/>
                <w:numId w:val="48"/>
              </w:numPr>
              <w:spacing w:lineRule="auto" w:line="240"/>
              <w:jc w:val="both"/>
              <w:rPr/>
            </w:pPr>
            <w:r>
              <w:rPr>
                <w:rFonts w:cs="Arial" w:ascii="Verdana" w:hAnsi="Verdana"/>
                <w:color w:val="000000"/>
                <w:sz w:val="20"/>
                <w:szCs w:val="20"/>
              </w:rPr>
              <w:t>Selagem tripla multilínea que proporciona maior segurança ao material esterilizado;</w:t>
            </w:r>
          </w:p>
          <w:p>
            <w:pPr>
              <w:pStyle w:val="ListParagraph"/>
              <w:widowControl w:val="false"/>
              <w:numPr>
                <w:ilvl w:val="0"/>
                <w:numId w:val="49"/>
              </w:numPr>
              <w:spacing w:lineRule="auto" w:line="240" w:before="0" w:after="200"/>
              <w:contextualSpacing/>
              <w:jc w:val="both"/>
              <w:rPr/>
            </w:pPr>
            <w:r>
              <w:rPr>
                <w:rFonts w:cs="Arial" w:ascii="Verdana" w:hAnsi="Verdana"/>
                <w:color w:val="000000"/>
                <w:sz w:val="20"/>
                <w:szCs w:val="20"/>
              </w:rPr>
              <w:t>Bobina medindo 100mm x 100mt</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ROLO</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R$52,43</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R$5.243,00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54</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Bobina papel grau cirúrgico:</w:t>
            </w:r>
          </w:p>
          <w:p>
            <w:pPr>
              <w:pStyle w:val="ListParagraph"/>
              <w:widowControl w:val="false"/>
              <w:numPr>
                <w:ilvl w:val="0"/>
                <w:numId w:val="50"/>
              </w:numPr>
              <w:spacing w:lineRule="auto" w:line="240"/>
              <w:jc w:val="both"/>
              <w:rPr/>
            </w:pPr>
            <w:r>
              <w:rPr>
                <w:rFonts w:cs="Arial" w:ascii="Verdana" w:hAnsi="Verdana"/>
                <w:color w:val="000000"/>
                <w:sz w:val="20"/>
                <w:szCs w:val="20"/>
              </w:rPr>
              <w:t>Bobinas lisas, produzidas em papel grau cirúrgico e filme laminado (poliéster/polipropileno);</w:t>
            </w:r>
          </w:p>
          <w:p>
            <w:pPr>
              <w:pStyle w:val="ListParagraph"/>
              <w:widowControl w:val="false"/>
              <w:numPr>
                <w:ilvl w:val="0"/>
                <w:numId w:val="51"/>
              </w:numPr>
              <w:spacing w:lineRule="auto" w:line="240"/>
              <w:jc w:val="both"/>
              <w:rPr/>
            </w:pPr>
            <w:r>
              <w:rPr>
                <w:rFonts w:cs="Arial" w:ascii="Verdana" w:hAnsi="Verdana"/>
                <w:color w:val="000000"/>
                <w:sz w:val="20"/>
                <w:szCs w:val="20"/>
              </w:rPr>
              <w:t>Selagem tripla multilínea que proporciona maior segurança ao material esterilizado;</w:t>
            </w:r>
          </w:p>
          <w:p>
            <w:pPr>
              <w:pStyle w:val="ListParagraph"/>
              <w:widowControl w:val="false"/>
              <w:numPr>
                <w:ilvl w:val="0"/>
                <w:numId w:val="52"/>
              </w:numPr>
              <w:spacing w:lineRule="auto" w:line="240" w:before="0" w:after="200"/>
              <w:contextualSpacing/>
              <w:jc w:val="both"/>
              <w:rPr/>
            </w:pPr>
            <w:r>
              <w:rPr>
                <w:rFonts w:cs="Arial" w:ascii="Verdana" w:hAnsi="Verdana"/>
                <w:color w:val="000000"/>
                <w:sz w:val="20"/>
                <w:szCs w:val="20"/>
              </w:rPr>
              <w:t>Bobina medindo 150mm x 100mt</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ROLO</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R$78,91</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R$7.891,00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55</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Kit pó + líquido de</w:t>
            </w:r>
            <w:r>
              <w:rPr>
                <w:rFonts w:cs="Arial" w:ascii="Verdana" w:hAnsi="Verdana"/>
                <w:b/>
                <w:bCs/>
                <w:color w:val="000000"/>
                <w:sz w:val="20"/>
                <w:szCs w:val="20"/>
              </w:rPr>
              <w:t xml:space="preserve"> cimento restaurador intermediário</w:t>
            </w:r>
            <w:r>
              <w:rPr>
                <w:rFonts w:cs="Arial" w:ascii="Verdana" w:hAnsi="Verdana"/>
                <w:color w:val="000000"/>
                <w:sz w:val="20"/>
                <w:szCs w:val="20"/>
              </w:rPr>
              <w:t>:</w:t>
            </w:r>
          </w:p>
          <w:p>
            <w:pPr>
              <w:pStyle w:val="ListParagraph"/>
              <w:widowControl w:val="false"/>
              <w:numPr>
                <w:ilvl w:val="0"/>
                <w:numId w:val="53"/>
              </w:numPr>
              <w:spacing w:lineRule="auto" w:line="240"/>
              <w:jc w:val="both"/>
              <w:rPr/>
            </w:pPr>
            <w:r>
              <w:rPr>
                <w:rFonts w:cs="Arial" w:ascii="Verdana" w:hAnsi="Verdana"/>
                <w:color w:val="000000"/>
                <w:sz w:val="20"/>
                <w:szCs w:val="20"/>
              </w:rPr>
              <w:t>Pó contendo óxido de zinco e resina acrílica;</w:t>
            </w:r>
          </w:p>
          <w:p>
            <w:pPr>
              <w:pStyle w:val="ListParagraph"/>
              <w:widowControl w:val="false"/>
              <w:numPr>
                <w:ilvl w:val="0"/>
                <w:numId w:val="54"/>
              </w:numPr>
              <w:spacing w:lineRule="auto" w:line="240"/>
              <w:jc w:val="both"/>
              <w:rPr/>
            </w:pPr>
            <w:r>
              <w:rPr>
                <w:rFonts w:cs="Arial" w:ascii="Verdana" w:hAnsi="Verdana"/>
                <w:color w:val="000000"/>
                <w:sz w:val="20"/>
                <w:szCs w:val="20"/>
              </w:rPr>
              <w:t>Líquido contendo eugenol e ácido acético glacial;</w:t>
            </w:r>
          </w:p>
          <w:p>
            <w:pPr>
              <w:pStyle w:val="ListParagraph"/>
              <w:widowControl w:val="false"/>
              <w:numPr>
                <w:ilvl w:val="0"/>
                <w:numId w:val="55"/>
              </w:numPr>
              <w:spacing w:lineRule="auto" w:line="240"/>
              <w:jc w:val="both"/>
              <w:rPr/>
            </w:pPr>
            <w:r>
              <w:rPr>
                <w:rFonts w:cs="Arial" w:ascii="Verdana" w:hAnsi="Verdana"/>
                <w:color w:val="000000"/>
                <w:sz w:val="20"/>
                <w:szCs w:val="20"/>
              </w:rPr>
              <w:t>Caixa kit contendo: 01 frasco de pó com 38 gramas, 01 frasco de líquido</w:t>
            </w:r>
          </w:p>
          <w:p>
            <w:pPr>
              <w:pStyle w:val="ListParagraph"/>
              <w:widowControl w:val="false"/>
              <w:numPr>
                <w:ilvl w:val="0"/>
                <w:numId w:val="56"/>
              </w:numPr>
              <w:spacing w:lineRule="auto" w:line="240" w:before="0" w:after="200"/>
              <w:contextualSpacing/>
              <w:jc w:val="both"/>
              <w:rPr/>
            </w:pPr>
            <w:r>
              <w:rPr>
                <w:rFonts w:cs="Arial" w:ascii="Verdana" w:hAnsi="Verdana"/>
                <w:color w:val="000000"/>
                <w:sz w:val="20"/>
                <w:szCs w:val="20"/>
              </w:rPr>
              <w:t>com 15ml e 01 medidor.</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70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CX/KIT</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R$61,80</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R$4.326,00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56</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b/>
                <w:bCs/>
                <w:color w:val="000000"/>
                <w:sz w:val="20"/>
                <w:szCs w:val="20"/>
              </w:rPr>
              <w:t>Agulha descartável gengival</w:t>
            </w:r>
            <w:r>
              <w:rPr>
                <w:rFonts w:cs="Arial" w:ascii="Verdana" w:hAnsi="Verdana"/>
                <w:color w:val="000000"/>
                <w:sz w:val="20"/>
                <w:szCs w:val="20"/>
              </w:rPr>
              <w:t xml:space="preserve"> esterilizada, curta com cânula de comprimento 25mm, calibre 30G, para ser utilizada com a seringa carpule; Bisel tri facetado elimina o desconforto na penetração da agulha e reduz o esforço do profissional. Esterelizada e embalada individualmente, com selo de segurança; frisos internos no canhão que permitem perfeita adaptação da agulha a todas as seringas tipo carpule e evita vazamentos de substâncias, mesmo quando sob pressão; cânula lubrificadas com silicone grau médico para facilitar sua penetração nos tecidos e adequadamente flexível que facilita seu direcionamento para o local a ser tratado, sem sua fratura. APRESENTAÇÃO: caixa contendo 100 unidades</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CX</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R$32,42</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R$3.242,00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57</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BANDEJA DE INOX RETANGULAR – Medindo: 22cm x 17 cm x 1,5 cm.</w:t>
            </w:r>
          </w:p>
          <w:p>
            <w:pPr>
              <w:pStyle w:val="Normal"/>
              <w:widowControl w:val="false"/>
              <w:spacing w:lineRule="auto" w:line="240"/>
              <w:jc w:val="both"/>
              <w:rPr/>
            </w:pPr>
            <w:r>
              <w:rPr>
                <w:rFonts w:ascii="Verdana" w:hAnsi="Verdana"/>
                <w:sz w:val="20"/>
              </w:rPr>
              <w:t>Autoclavável.</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40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R$58,81</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R$2.352,40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58</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Cabo de bisturi nº 03 – em Inox;</w:t>
            </w:r>
          </w:p>
          <w:p>
            <w:pPr>
              <w:pStyle w:val="Normal"/>
              <w:widowControl w:val="false"/>
              <w:spacing w:lineRule="auto" w:line="240"/>
              <w:jc w:val="both"/>
              <w:rPr/>
            </w:pPr>
            <w:r>
              <w:rPr>
                <w:rFonts w:ascii="Verdana" w:hAnsi="Verdana"/>
                <w:sz w:val="20"/>
              </w:rPr>
              <w:t>Inoxidável; Fabricado de acordo com padrões internacionais de qualidade, normas ABNT, CE.</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R$17,23</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R$344,60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59</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CABO inox para espelho clínico.</w:t>
            </w:r>
          </w:p>
          <w:p>
            <w:pPr>
              <w:pStyle w:val="Normal"/>
              <w:widowControl w:val="false"/>
              <w:spacing w:lineRule="auto" w:line="240"/>
              <w:jc w:val="both"/>
              <w:rPr/>
            </w:pPr>
            <w:r>
              <w:rPr>
                <w:rFonts w:ascii="Verdana" w:hAnsi="Verdana"/>
                <w:sz w:val="20"/>
              </w:rPr>
              <w:t>Produzido em aço inoxidável. 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60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R$4,71</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R$282,60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60</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Carbonato hidrogenado de sódio para uso odontológico:</w:t>
            </w:r>
          </w:p>
          <w:p>
            <w:pPr>
              <w:pStyle w:val="ListParagraph"/>
              <w:widowControl w:val="false"/>
              <w:numPr>
                <w:ilvl w:val="0"/>
                <w:numId w:val="57"/>
              </w:numPr>
              <w:spacing w:lineRule="auto" w:line="240" w:before="0" w:after="200"/>
              <w:contextualSpacing/>
              <w:jc w:val="both"/>
              <w:rPr/>
            </w:pPr>
            <w:r>
              <w:rPr>
                <w:rFonts w:cs="Arial" w:ascii="Verdana" w:hAnsi="Verdana"/>
                <w:color w:val="000000"/>
                <w:sz w:val="20"/>
                <w:szCs w:val="20"/>
              </w:rPr>
              <w:t>Bicarbonato de sódio para profilaxia; caixa contendo 24 sache de 40g</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CX</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R$37,41</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R$374,10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61</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b/>
                <w:bCs/>
                <w:color w:val="000000"/>
                <w:sz w:val="20"/>
                <w:szCs w:val="20"/>
              </w:rPr>
              <w:t>Cimento ionômero de vidro R</w:t>
            </w:r>
            <w:r>
              <w:rPr>
                <w:rFonts w:cs="Arial" w:ascii="Verdana" w:hAnsi="Verdana"/>
                <w:color w:val="000000"/>
                <w:sz w:val="20"/>
                <w:szCs w:val="20"/>
              </w:rPr>
              <w:t xml:space="preserve"> para uso na técnica ART. Produto específico para restaurações em dentes posteriores, deverá ter fluidez adequada para ser aplicado através de condensador. Deverá promover alta resistência compressão, alta resistência à flexão, dureza de superfície e baixa abrasão. Produto quimicamente ativado, acido/base, radiopaco, pó contendo ácido poliacrílico desidratado e líquido ácido poliacrílico e ácido tartárico; que promova liberação contínua de flúor. Apresentação:</w:t>
            </w:r>
          </w:p>
          <w:p>
            <w:pPr>
              <w:pStyle w:val="ListParagraph"/>
              <w:widowControl w:val="false"/>
              <w:numPr>
                <w:ilvl w:val="0"/>
                <w:numId w:val="58"/>
              </w:numPr>
              <w:spacing w:lineRule="auto" w:line="240"/>
              <w:jc w:val="both"/>
              <w:rPr/>
            </w:pPr>
            <w:r>
              <w:rPr>
                <w:rFonts w:cs="Arial" w:ascii="Verdana" w:hAnsi="Verdana"/>
                <w:color w:val="000000"/>
                <w:sz w:val="20"/>
                <w:szCs w:val="20"/>
              </w:rPr>
              <w:t>Caixa com 10 gramas de pó de cor universal A3 + 8ml de líquido, colher medidora e bloco para espatulação ou kit pó liquido. Ou</w:t>
            </w:r>
          </w:p>
          <w:p>
            <w:pPr>
              <w:pStyle w:val="ListParagraph"/>
              <w:widowControl w:val="false"/>
              <w:numPr>
                <w:ilvl w:val="0"/>
                <w:numId w:val="59"/>
              </w:numPr>
              <w:spacing w:lineRule="auto" w:line="240" w:before="0" w:after="200"/>
              <w:contextualSpacing/>
              <w:jc w:val="both"/>
              <w:rPr/>
            </w:pPr>
            <w:r>
              <w:rPr>
                <w:rFonts w:cs="Arial" w:ascii="Verdana" w:hAnsi="Verdana"/>
                <w:color w:val="000000"/>
                <w:sz w:val="20"/>
                <w:szCs w:val="20"/>
              </w:rPr>
              <w:t>Caixa com 12,5g de pó cor universal A3 + 8,5 ml de líquido, colher medidora e bloco de espatulação.</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80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CX/KIT</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R$42,67</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R$3.413,60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62</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Condicionador dental a base de ácido fosfórico 37% em gel tixotropico. APRESENTAÇÃO:</w:t>
            </w:r>
          </w:p>
          <w:p>
            <w:pPr>
              <w:pStyle w:val="ListParagraph"/>
              <w:widowControl w:val="false"/>
              <w:numPr>
                <w:ilvl w:val="0"/>
                <w:numId w:val="60"/>
              </w:numPr>
              <w:spacing w:lineRule="auto" w:line="240"/>
              <w:jc w:val="both"/>
              <w:rPr/>
            </w:pPr>
            <w:r>
              <w:rPr>
                <w:rFonts w:cs="Arial" w:ascii="Verdana" w:hAnsi="Verdana"/>
                <w:color w:val="000000"/>
                <w:sz w:val="20"/>
                <w:szCs w:val="20"/>
              </w:rPr>
              <w:t>Seringa contendo 3ml ou 2,5 gr – cor azul</w:t>
            </w:r>
          </w:p>
          <w:p>
            <w:pPr>
              <w:pStyle w:val="ListParagraph"/>
              <w:widowControl w:val="false"/>
              <w:spacing w:lineRule="auto" w:line="240" w:before="0" w:after="200"/>
              <w:ind w:left="0" w:hanging="0"/>
              <w:contextualSpacing/>
              <w:jc w:val="both"/>
              <w:rPr>
                <w:rFonts w:ascii="Verdana" w:hAnsi="Verdana" w:cs="Arial"/>
                <w:color w:val="000000"/>
                <w:sz w:val="20"/>
                <w:szCs w:val="20"/>
              </w:rPr>
            </w:pPr>
            <w:r>
              <w:rPr>
                <w:rFonts w:cs="Arial" w:ascii="Verdana" w:hAnsi="Verdana"/>
                <w:color w:val="000000"/>
                <w:sz w:val="20"/>
                <w:szCs w:val="20"/>
              </w:rPr>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FRASCO</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R$5,82</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R$5.820,00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63</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Creme dental: tubo contendo 50 gramas, com 1450ppm de flúor, contendo monofluorfosfato de sódio Mpa, pirofosfato tetrassódico, carboximetil celulose, metil e propil parabenos composição aromática e água. Embalagem de 50 gramas. Deve possuir selo de controle de qualidade da ABO ( Associação Brasileira de Odontologia).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5.000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TUBO</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R$6,37</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R$31.850,00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64</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Cunha interdentais de madeira natural – caixa contendo 100 unidades</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80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CX</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R$14,98</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R$1.198,40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65</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Curativo para alveolite:</w:t>
            </w:r>
          </w:p>
          <w:p>
            <w:pPr>
              <w:pStyle w:val="ListParagraph"/>
              <w:widowControl w:val="false"/>
              <w:numPr>
                <w:ilvl w:val="0"/>
                <w:numId w:val="61"/>
              </w:numPr>
              <w:spacing w:lineRule="auto" w:line="240" w:before="0" w:after="200"/>
              <w:contextualSpacing/>
              <w:jc w:val="both"/>
              <w:rPr/>
            </w:pPr>
            <w:r>
              <w:rPr>
                <w:rFonts w:cs="Arial" w:ascii="Verdana" w:hAnsi="Verdana"/>
                <w:color w:val="000000"/>
                <w:sz w:val="20"/>
                <w:szCs w:val="20"/>
              </w:rPr>
              <w:t>Frasco contendo 10 gramas</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FRASCO</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R$69,87</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R$1.397,40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66</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Desincrustante – detergente enzimático 04 enzimas:</w:t>
            </w:r>
          </w:p>
          <w:p>
            <w:pPr>
              <w:pStyle w:val="ListParagraph"/>
              <w:widowControl w:val="false"/>
              <w:numPr>
                <w:ilvl w:val="0"/>
                <w:numId w:val="62"/>
              </w:numPr>
              <w:spacing w:lineRule="auto" w:line="240" w:before="0" w:after="200"/>
              <w:contextualSpacing/>
              <w:jc w:val="both"/>
              <w:rPr/>
            </w:pPr>
            <w:r>
              <w:rPr>
                <w:rFonts w:cs="Arial" w:ascii="Verdana" w:hAnsi="Verdana"/>
                <w:color w:val="000000"/>
                <w:sz w:val="20"/>
                <w:szCs w:val="20"/>
              </w:rPr>
              <w:t>Frasco contendo 1000ml</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50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L</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R$24,54</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R$1.227,00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67</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Digluconato de clorexedina 2%:</w:t>
            </w:r>
          </w:p>
          <w:p>
            <w:pPr>
              <w:pStyle w:val="ListParagraph"/>
              <w:widowControl w:val="false"/>
              <w:numPr>
                <w:ilvl w:val="0"/>
                <w:numId w:val="63"/>
              </w:numPr>
              <w:spacing w:lineRule="auto" w:line="240" w:before="0" w:after="200"/>
              <w:contextualSpacing/>
              <w:jc w:val="both"/>
              <w:rPr/>
            </w:pPr>
            <w:r>
              <w:rPr>
                <w:rFonts w:cs="Arial" w:ascii="Verdana" w:hAnsi="Verdana"/>
                <w:color w:val="000000"/>
                <w:sz w:val="20"/>
                <w:szCs w:val="20"/>
              </w:rPr>
              <w:t>Frasco contendo 100ml</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FRASCO</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R$6,50</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R$130,00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68</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ESCOVA PARA LIMPEZA DE BROCA:</w:t>
            </w:r>
          </w:p>
          <w:p>
            <w:pPr>
              <w:pStyle w:val="Normal"/>
              <w:widowControl w:val="false"/>
              <w:spacing w:lineRule="auto" w:line="240"/>
              <w:jc w:val="both"/>
              <w:rPr/>
            </w:pPr>
            <w:r>
              <w:rPr>
                <w:rFonts w:ascii="Verdana" w:hAnsi="Verdana"/>
                <w:sz w:val="20"/>
              </w:rPr>
              <w:t>Em cerdas de latão ondulado. Ideal para limpeza de brocas odontológicas. Medidas aproximadas: Comprimento 100mm. Comprimento das cerdas: 12mm.</w:t>
            </w:r>
          </w:p>
          <w:p>
            <w:pPr>
              <w:pStyle w:val="Normal"/>
              <w:widowControl w:val="false"/>
              <w:spacing w:lineRule="auto" w:line="240"/>
              <w:jc w:val="both"/>
              <w:rPr/>
            </w:pPr>
            <w:r>
              <w:rPr>
                <w:rFonts w:ascii="Verdana" w:hAnsi="Verdana"/>
                <w:sz w:val="20"/>
              </w:rPr>
              <w:t>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30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R$16,90</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R$507,00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69</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 xml:space="preserve">ESCOVA ROBSON PLANA PARA CONTRA ÂNGULO – embalagem contendo no mínimo 100 unidades. </w:t>
            </w:r>
            <w:r>
              <w:rPr>
                <w:rStyle w:val="Strong"/>
                <w:rFonts w:ascii="Verdana" w:hAnsi="Verdana"/>
                <w:color w:val="242C2F"/>
                <w:sz w:val="20"/>
              </w:rPr>
              <w:t>Composição de Alta Qualidade</w:t>
            </w:r>
            <w:r>
              <w:rPr>
                <w:rFonts w:ascii="Verdana" w:hAnsi="Verdana"/>
                <w:color w:val="242C2F"/>
                <w:sz w:val="20"/>
              </w:rPr>
              <w:t>: A escova de robinson é fabricada com latão banhado a níquel, nylon natural e preto, garantindo resistência e durabilidade durante o uso. Produto não estéril.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CX ou PCT</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R$6,47</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R$6.470,00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70</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Fio de sutura agulhado seda:</w:t>
            </w:r>
          </w:p>
          <w:p>
            <w:pPr>
              <w:pStyle w:val="ListParagraph"/>
              <w:widowControl w:val="false"/>
              <w:numPr>
                <w:ilvl w:val="0"/>
                <w:numId w:val="64"/>
              </w:numPr>
              <w:spacing w:lineRule="auto" w:line="240"/>
              <w:jc w:val="both"/>
              <w:rPr/>
            </w:pPr>
            <w:r>
              <w:rPr>
                <w:rFonts w:cs="Arial" w:ascii="Verdana" w:hAnsi="Verdana"/>
                <w:color w:val="000000"/>
                <w:sz w:val="20"/>
                <w:szCs w:val="20"/>
              </w:rPr>
              <w:t>Fio de seda preta trançado;</w:t>
            </w:r>
          </w:p>
          <w:p>
            <w:pPr>
              <w:pStyle w:val="ListParagraph"/>
              <w:widowControl w:val="false"/>
              <w:numPr>
                <w:ilvl w:val="0"/>
                <w:numId w:val="65"/>
              </w:numPr>
              <w:spacing w:lineRule="auto" w:line="240"/>
              <w:jc w:val="both"/>
              <w:rPr/>
            </w:pPr>
            <w:r>
              <w:rPr>
                <w:rFonts w:cs="Arial" w:ascii="Verdana" w:hAnsi="Verdana"/>
                <w:color w:val="000000"/>
                <w:sz w:val="20"/>
                <w:szCs w:val="20"/>
              </w:rPr>
              <w:t>Odontológica a fio USP, 45 cm de comprimento;</w:t>
            </w:r>
          </w:p>
          <w:p>
            <w:pPr>
              <w:pStyle w:val="ListParagraph"/>
              <w:widowControl w:val="false"/>
              <w:numPr>
                <w:ilvl w:val="0"/>
                <w:numId w:val="66"/>
              </w:numPr>
              <w:spacing w:lineRule="auto" w:line="240"/>
              <w:jc w:val="both"/>
              <w:rPr/>
            </w:pPr>
            <w:r>
              <w:rPr>
                <w:rFonts w:cs="Arial" w:ascii="Verdana" w:hAnsi="Verdana"/>
                <w:color w:val="000000"/>
                <w:sz w:val="20"/>
                <w:szCs w:val="20"/>
              </w:rPr>
              <w:t>Agulha 17mm, ½ circ. Tipo triangular, 4-0;</w:t>
            </w:r>
          </w:p>
          <w:p>
            <w:pPr>
              <w:pStyle w:val="ListParagraph"/>
              <w:widowControl w:val="false"/>
              <w:numPr>
                <w:ilvl w:val="0"/>
                <w:numId w:val="67"/>
              </w:numPr>
              <w:spacing w:lineRule="auto" w:line="240" w:before="0" w:after="200"/>
              <w:contextualSpacing/>
              <w:jc w:val="both"/>
              <w:rPr/>
            </w:pPr>
            <w:r>
              <w:rPr>
                <w:rFonts w:cs="Arial" w:ascii="Verdana" w:hAnsi="Verdana"/>
                <w:color w:val="000000"/>
                <w:sz w:val="20"/>
                <w:szCs w:val="20"/>
              </w:rPr>
              <w:t>Caixa contendo no minimo 24 fios</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CX</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R$50,40</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R$5.004,00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71</w:t>
            </w:r>
          </w:p>
        </w:tc>
        <w:tc>
          <w:tcPr>
            <w:tcW w:w="3820" w:type="dxa"/>
            <w:tcBorders>
              <w:left w:val="single" w:sz="4" w:space="0" w:color="000000"/>
              <w:bottom w:val="single" w:sz="4" w:space="0" w:color="000000"/>
              <w:right w:val="single" w:sz="4" w:space="0" w:color="000000"/>
            </w:tcBorders>
            <w:vAlign w:val="center"/>
          </w:tcPr>
          <w:p>
            <w:pPr>
              <w:pStyle w:val="Ttulo1"/>
              <w:widowControl w:val="false"/>
              <w:spacing w:lineRule="auto" w:line="240" w:before="240" w:after="120"/>
              <w:jc w:val="both"/>
              <w:rPr>
                <w:color w:val="000000"/>
              </w:rPr>
            </w:pPr>
            <w:r>
              <w:rPr>
                <w:rFonts w:cs="Arial" w:ascii="Verdana" w:hAnsi="Verdana"/>
                <w:b w:val="false"/>
                <w:bCs w:val="false"/>
                <w:color w:val="000000"/>
                <w:sz w:val="20"/>
                <w:szCs w:val="20"/>
              </w:rPr>
              <w:t>Fio de sutura agulhado  Nylon 4-0 Agulha 1,7cm, ½ circ.</w:t>
            </w:r>
          </w:p>
          <w:p>
            <w:pPr>
              <w:pStyle w:val="Standard"/>
              <w:widowControl w:val="false"/>
              <w:spacing w:lineRule="auto" w:line="240"/>
              <w:jc w:val="both"/>
              <w:rPr>
                <w:color w:val="000000"/>
              </w:rPr>
            </w:pPr>
            <w:r>
              <w:rPr>
                <w:rFonts w:cs="Arial" w:ascii="Verdana" w:hAnsi="Verdana"/>
                <w:color w:val="000000"/>
                <w:sz w:val="20"/>
                <w:szCs w:val="20"/>
              </w:rPr>
              <w:t>São de origem sintética, fabricadas com fio não absorvível monfilamentar de poliamida 6.Fornecido em caixa contendo no minimo 24 unidades</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CX</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R$41,93</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R$4.193,00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72</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Fita adesiva para autoclave com indicador de temperatura, medindo 19mm de largura e 30m de comprimento, confeccionado em papel  crepado.</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R$7,56</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R$151,20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73</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 xml:space="preserve">FIXADOR PARA RAIO X - </w:t>
            </w:r>
            <w:r>
              <w:rPr>
                <w:rFonts w:ascii="Verdana" w:hAnsi="Verdana"/>
                <w:color w:val="1C1C1C"/>
                <w:sz w:val="20"/>
              </w:rPr>
              <w:t>Composto por sulfito de sódio, dietileno glycol e hidroquinona . Frasco contendo no minimo 475 ml</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30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FR</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R$11,58</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R$347,40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74</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FLÚOR GEL – CARACTERISTICAS:</w:t>
            </w:r>
          </w:p>
          <w:p>
            <w:pPr>
              <w:pStyle w:val="Normal"/>
              <w:widowControl w:val="false"/>
              <w:spacing w:lineRule="auto" w:line="240"/>
              <w:jc w:val="both"/>
              <w:rPr/>
            </w:pPr>
            <w:r>
              <w:rPr>
                <w:rFonts w:ascii="Verdana" w:hAnsi="Verdana"/>
                <w:sz w:val="20"/>
              </w:rPr>
              <w:t xml:space="preserve"> </w:t>
            </w:r>
            <w:r>
              <w:rPr>
                <w:rFonts w:ascii="Verdana" w:hAnsi="Verdana"/>
                <w:sz w:val="20"/>
              </w:rPr>
              <w:t xml:space="preserve">* </w:t>
            </w:r>
            <w:r>
              <w:rPr>
                <w:rStyle w:val="Strong"/>
                <w:rFonts w:ascii="Verdana" w:hAnsi="Verdana"/>
                <w:b w:val="false"/>
                <w:bCs w:val="false"/>
                <w:color w:val="1C1C1C"/>
                <w:sz w:val="20"/>
              </w:rPr>
              <w:t>Fluoreto Fosfatado Acidulado 1,23%</w:t>
            </w:r>
            <w:r>
              <w:rPr>
                <w:rFonts w:ascii="Verdana" w:hAnsi="Verdana"/>
                <w:color w:val="1C1C1C"/>
                <w:sz w:val="20"/>
              </w:rPr>
              <w:t>: O Flúor Gel Acidulado é composto por fluoreto fosfatado acidulado a 1,23%, garantindo uma alta eficácia na prevenção de cáries e remineralização da estrutura dentária.</w:t>
            </w:r>
          </w:p>
          <w:p>
            <w:pPr>
              <w:pStyle w:val="Corpodotexto"/>
              <w:widowControl w:val="false"/>
              <w:spacing w:lineRule="auto" w:line="240" w:before="0" w:after="0"/>
              <w:jc w:val="both"/>
              <w:rPr/>
            </w:pPr>
            <w:r>
              <w:rPr>
                <w:rStyle w:val="Strong"/>
                <w:rFonts w:ascii="Verdana" w:hAnsi="Verdana"/>
                <w:b w:val="false"/>
                <w:bCs w:val="false"/>
                <w:color w:val="1C1C1C"/>
                <w:sz w:val="20"/>
              </w:rPr>
              <w:t>* Tixotropia Avançada</w:t>
            </w:r>
            <w:r>
              <w:rPr>
                <w:rFonts w:ascii="Verdana" w:hAnsi="Verdana"/>
                <w:color w:val="1C1C1C"/>
                <w:sz w:val="20"/>
              </w:rPr>
              <w:t>: Graças à sua consistência tixotrópica, o Flúor Gel Acidulado 200ml não escorre, facilitando sua aplicação em moldeiras e garantindo que o gel permaneça no local de aplicação até o término do procedimento.</w:t>
            </w:r>
          </w:p>
          <w:p>
            <w:pPr>
              <w:pStyle w:val="Normal"/>
              <w:widowControl w:val="false"/>
              <w:spacing w:lineRule="auto" w:line="240"/>
              <w:jc w:val="both"/>
              <w:rPr/>
            </w:pPr>
            <w:r>
              <w:rPr>
                <w:rFonts w:ascii="Verdana" w:hAnsi="Verdana"/>
                <w:color w:val="1C1C1C"/>
                <w:sz w:val="20"/>
              </w:rPr>
              <w:t xml:space="preserve">* </w:t>
            </w:r>
            <w:r>
              <w:rPr>
                <w:rStyle w:val="Strong"/>
                <w:rFonts w:ascii="Verdana" w:hAnsi="Verdana"/>
                <w:b w:val="false"/>
                <w:bCs w:val="false"/>
                <w:color w:val="1C1C1C"/>
                <w:sz w:val="20"/>
              </w:rPr>
              <w:t>Viscosidade Ideal</w:t>
            </w:r>
            <w:r>
              <w:rPr>
                <w:rFonts w:ascii="Verdana" w:hAnsi="Verdana"/>
                <w:color w:val="1C1C1C"/>
                <w:sz w:val="20"/>
              </w:rPr>
              <w:t>: A viscosidade do Flúor Dental em Gel  é projetada para se manter firme durante a aplicação, mas sob pressão, penetra com facilidade nas áreas interproximais, garantindo uma ação completa.</w:t>
            </w:r>
          </w:p>
          <w:p>
            <w:pPr>
              <w:pStyle w:val="Normal"/>
              <w:widowControl w:val="false"/>
              <w:spacing w:lineRule="auto" w:line="240"/>
              <w:jc w:val="both"/>
              <w:rPr/>
            </w:pPr>
            <w:r>
              <w:rPr>
                <w:rFonts w:ascii="Verdana" w:hAnsi="Verdana"/>
                <w:color w:val="1C1C1C"/>
                <w:sz w:val="20"/>
              </w:rPr>
              <w:t>Fornecido em frasco contendo no minimo 200 ml.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80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FR</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R$20,20</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R$1.616,00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75</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FORMOCRESOL: material para mumificação da polpa dental. Possui ação antibacteriana. Fornecido em frasco contendo no minimo 10 ml</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24</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FR</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R$14,54</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R$348,96</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76</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INDICADOR BIOLÓGICO – para monitorar ciclos de esterelização à vapor, conter esporos de bacillus stearothermoplilus/ prórpio para usar na micro-encubadora cristopoli/fácil esterelização, não necessita de análise ou teste sofisticado em laboratório. Fornecido em caixa contendo no minimo 10 ampolas.</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40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CX</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R$39,86</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R$1.594,40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77</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PAPEL CARBONO ARTICULAR – fornecido em blocos contendo no minimo 12 folhas</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40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CX</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R$4,44</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R$888,00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78</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 xml:space="preserve">PASTA PROFILÁTICA - </w:t>
            </w:r>
            <w:r>
              <w:rPr>
                <w:rFonts w:ascii="Verdana" w:hAnsi="Verdana"/>
                <w:color w:val="1C1C1C"/>
                <w:sz w:val="20"/>
              </w:rPr>
              <w:t>indicada para procedimentos de profilaxia, sendo eficaz na remoção de manchas e no polimento dental. Contendo flúor em sua formulação, ela auxilia na prevenção de cáries, promovendo a saúde bucal.Fornecido em tubo contendo no minimo 90 gramas</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TUBO</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R$4,14</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R$414,00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79</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Paramonoclorofenol – material para desinfecção de canal radicular; ação bactericida.</w:t>
            </w:r>
          </w:p>
          <w:p>
            <w:pPr>
              <w:pStyle w:val="ListParagraph"/>
              <w:widowControl w:val="false"/>
              <w:numPr>
                <w:ilvl w:val="0"/>
                <w:numId w:val="68"/>
              </w:numPr>
              <w:spacing w:lineRule="auto" w:line="240" w:before="0" w:after="200"/>
              <w:contextualSpacing/>
              <w:jc w:val="both"/>
              <w:rPr/>
            </w:pPr>
            <w:r>
              <w:rPr>
                <w:rFonts w:cs="Arial" w:ascii="Verdana" w:hAnsi="Verdana"/>
                <w:color w:val="000000"/>
                <w:sz w:val="20"/>
                <w:szCs w:val="20"/>
              </w:rPr>
              <w:t>Fornecido em Frasco contendo no minimo 20 ml</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30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FRASCO</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R$10,65</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R$319,50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80</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 xml:space="preserve">PEDRA POMES - </w:t>
            </w:r>
            <w:r>
              <w:rPr>
                <w:rFonts w:ascii="Verdana" w:hAnsi="Verdana"/>
                <w:color w:val="1C1C1C"/>
                <w:sz w:val="20"/>
              </w:rPr>
              <w:t>Indicada na limpeza e polimento dos dentes e trabalhos protéticos. Fornecida em pacote contendo no minimo 01 kg.</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PCT</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R$8,43</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R$168,60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81</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1C1C1C"/>
                <w:sz w:val="20"/>
                <w:szCs w:val="20"/>
              </w:rPr>
              <w:t>Pincel aplicador microbrush no tamanho regular – Possui haste dobrável (flexível) e ponta com cerdas de nylon para oferecer um bom manuseio ao profissional .</w:t>
            </w:r>
          </w:p>
          <w:p>
            <w:pPr>
              <w:pStyle w:val="Standard"/>
              <w:widowControl w:val="false"/>
              <w:spacing w:lineRule="auto" w:line="240"/>
              <w:jc w:val="both"/>
              <w:rPr/>
            </w:pPr>
            <w:r>
              <w:rPr>
                <w:rFonts w:cs="Arial" w:ascii="Verdana" w:hAnsi="Verdana"/>
                <w:color w:val="1C1C1C"/>
                <w:sz w:val="20"/>
                <w:szCs w:val="20"/>
              </w:rPr>
              <w:t>Haste: dobrável;</w:t>
            </w:r>
          </w:p>
          <w:p>
            <w:pPr>
              <w:pStyle w:val="Standard"/>
              <w:widowControl w:val="false"/>
              <w:spacing w:lineRule="auto" w:line="240"/>
              <w:jc w:val="both"/>
              <w:rPr/>
            </w:pPr>
            <w:r>
              <w:rPr>
                <w:rFonts w:cs="Arial" w:ascii="Verdana" w:hAnsi="Verdana"/>
                <w:color w:val="1C1C1C"/>
                <w:sz w:val="20"/>
                <w:szCs w:val="20"/>
              </w:rPr>
              <w:t>Material das pontas: cerdas de nylon;</w:t>
            </w:r>
          </w:p>
          <w:p>
            <w:pPr>
              <w:pStyle w:val="Standard"/>
              <w:widowControl w:val="false"/>
              <w:spacing w:lineRule="auto" w:line="240"/>
              <w:jc w:val="both"/>
              <w:rPr/>
            </w:pPr>
            <w:r>
              <w:rPr>
                <w:rFonts w:cs="Arial" w:ascii="Verdana" w:hAnsi="Verdana"/>
                <w:color w:val="1C1C1C"/>
                <w:sz w:val="20"/>
                <w:szCs w:val="20"/>
              </w:rPr>
              <w:t>Fornecido em tubo contendo no minimo 100 aplicadores descartáveis.</w:t>
            </w:r>
          </w:p>
          <w:p>
            <w:pPr>
              <w:pStyle w:val="Standard"/>
              <w:widowControl w:val="false"/>
              <w:spacing w:lineRule="auto" w:line="240"/>
              <w:jc w:val="both"/>
              <w:rPr/>
            </w:pPr>
            <w:r>
              <w:rPr>
                <w:rFonts w:ascii="Verdana" w:hAnsi="Verdana"/>
                <w:sz w:val="20"/>
                <w:szCs w:val="20"/>
              </w:rPr>
              <w:t>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POTE</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R$9,35</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R$1.870,00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82</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1C1C1C"/>
                <w:sz w:val="20"/>
                <w:szCs w:val="20"/>
              </w:rPr>
              <w:t>Pincel aplicador micro Blanch fino: Possui dobra em dois pontos;</w:t>
            </w:r>
          </w:p>
          <w:p>
            <w:pPr>
              <w:pStyle w:val="Corpodotexto"/>
              <w:widowControl w:val="false"/>
              <w:spacing w:lineRule="auto" w:line="240"/>
              <w:jc w:val="both"/>
              <w:rPr/>
            </w:pPr>
            <w:r>
              <w:rPr>
                <w:rFonts w:cs="Arial" w:ascii="Verdana" w:hAnsi="Verdana"/>
                <w:color w:val="1C1C1C"/>
                <w:sz w:val="20"/>
              </w:rPr>
              <w:t>Permite maior facilidade na aplicação em áreas de difícil acesso em preparos cavitários e condutos radiculares.</w:t>
            </w:r>
          </w:p>
          <w:p>
            <w:pPr>
              <w:pStyle w:val="Corpodotexto"/>
              <w:widowControl w:val="false"/>
              <w:numPr>
                <w:ilvl w:val="0"/>
                <w:numId w:val="2"/>
              </w:numPr>
              <w:tabs>
                <w:tab w:val="clear" w:pos="708"/>
                <w:tab w:val="left" w:pos="0" w:leader="none"/>
              </w:tabs>
              <w:spacing w:lineRule="auto" w:line="240"/>
              <w:rPr/>
            </w:pPr>
            <w:r>
              <w:rPr>
                <w:rFonts w:ascii="Verdana" w:hAnsi="Verdana"/>
                <w:color w:val="1C1C1C"/>
                <w:sz w:val="20"/>
              </w:rPr>
              <w:t>Possibilidade de alcance de ângulo superior a 180°.</w:t>
            </w:r>
          </w:p>
          <w:p>
            <w:pPr>
              <w:pStyle w:val="Corpodotexto"/>
              <w:widowControl w:val="false"/>
              <w:numPr>
                <w:ilvl w:val="0"/>
                <w:numId w:val="2"/>
              </w:numPr>
              <w:tabs>
                <w:tab w:val="clear" w:pos="708"/>
                <w:tab w:val="left" w:pos="0" w:leader="none"/>
              </w:tabs>
              <w:spacing w:lineRule="auto" w:line="240"/>
              <w:rPr/>
            </w:pPr>
            <w:r>
              <w:rPr>
                <w:rFonts w:ascii="Verdana" w:hAnsi="Verdana"/>
                <w:color w:val="1C1C1C"/>
                <w:sz w:val="20"/>
              </w:rPr>
              <w:t>Proporciona melhor estabilidade e segurança na aplicação através da haste mais espessa.</w:t>
            </w:r>
          </w:p>
          <w:p>
            <w:pPr>
              <w:pStyle w:val="Standard"/>
              <w:widowControl w:val="false"/>
              <w:spacing w:lineRule="auto" w:line="240"/>
              <w:jc w:val="both"/>
              <w:rPr/>
            </w:pPr>
            <w:r>
              <w:rPr>
                <w:rFonts w:cs="Arial" w:ascii="Verdana" w:hAnsi="Verdana"/>
                <w:color w:val="1C1C1C"/>
                <w:sz w:val="20"/>
                <w:szCs w:val="20"/>
              </w:rPr>
              <w:t>Fornecido em caixa contendo no minimo 100 unidades.</w:t>
            </w:r>
          </w:p>
          <w:p>
            <w:pPr>
              <w:pStyle w:val="Standard"/>
              <w:widowControl w:val="false"/>
              <w:spacing w:lineRule="auto" w:line="240"/>
              <w:jc w:val="both"/>
              <w:rPr/>
            </w:pPr>
            <w:r>
              <w:rPr>
                <w:rFonts w:cs="Arial" w:ascii="Verdana" w:hAnsi="Verdana"/>
                <w:color w:val="1C1C1C"/>
                <w:sz w:val="20"/>
                <w:szCs w:val="20"/>
              </w:rPr>
              <w:t>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CX</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R$9,38</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R$1.876,00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83</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Placa de vidro para espatulação de materiais, medindo 15x 0,7 x 10 mm. Placa Polida.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30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R$11,83</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R$354,90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84</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Ponta abrasiva de borracha. Confeccionada de silicone e óxido de alumínio para acabamento e polimento de materiais restauradores como resina compostas, amalgama e ionômero de vidro. Apresentação: oito peças sortidas mais um mandril.</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30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R$100,87</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R$3.026,10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85</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color w:val="1C1C1C"/>
                <w:sz w:val="20"/>
              </w:rPr>
              <w:t>Pote Dappen de plástico com as seguintes características:</w:t>
            </w:r>
          </w:p>
          <w:p>
            <w:pPr>
              <w:pStyle w:val="Normal"/>
              <w:widowControl w:val="false"/>
              <w:spacing w:lineRule="auto" w:line="240"/>
              <w:rPr/>
            </w:pPr>
            <w:r>
              <w:rPr>
                <w:rFonts w:ascii="Verdana" w:hAnsi="Verdana"/>
                <w:color w:val="1C1C1C"/>
                <w:sz w:val="20"/>
              </w:rPr>
              <w:t>* Sua composição a base de nylon permite ser totalmente autoclavável, garantindo boa resistência ao produto;</w:t>
              <w:br/>
              <w:t>* Esterilizável em autoclave a 137°C;</w:t>
              <w:br/>
              <w:t>* Possui duas cavidades para as manipulações;</w:t>
              <w:br/>
              <w:t>* Medidas:</w:t>
              <w:br/>
              <w:t>* Altura: 3cm;</w:t>
              <w:br/>
              <w:t>* Concavidade superior 2,5 cm - capacidade máxima 3ml;</w:t>
              <w:br/>
              <w:t>* Concavidade inferior 2 cm - capacidade máxima 2ml;</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30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R$4,42</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R$132,60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86</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rPr/>
            </w:pPr>
            <w:r>
              <w:rPr>
                <w:rFonts w:ascii="Verdana" w:hAnsi="Verdana"/>
                <w:color w:val="1C1C1C"/>
                <w:sz w:val="20"/>
              </w:rPr>
              <w:t xml:space="preserve">POTE DAPPEN DE VIDRO: Material indicado para manipular e acondicionar produtos de aplicação odontológica como resina composta, pasta profilática e outros  </w:t>
            </w:r>
            <w:r>
              <w:rPr>
                <w:rStyle w:val="Strong"/>
                <w:rFonts w:ascii="Verdana" w:hAnsi="Verdana"/>
                <w:b w:val="false"/>
                <w:bCs w:val="false"/>
                <w:color w:val="1C1C1C"/>
                <w:sz w:val="20"/>
              </w:rPr>
              <w:t>CARACTERÍSTICAS:</w:t>
            </w:r>
          </w:p>
          <w:p>
            <w:pPr>
              <w:pStyle w:val="Corpodotexto"/>
              <w:widowControl w:val="false"/>
              <w:spacing w:lineRule="auto" w:line="240" w:before="0" w:after="0"/>
              <w:rPr/>
            </w:pPr>
            <w:r>
              <w:rPr>
                <w:rFonts w:ascii="Verdana" w:hAnsi="Verdana"/>
                <w:color w:val="1C1C1C"/>
                <w:sz w:val="20"/>
              </w:rPr>
              <w:t xml:space="preserve">• </w:t>
            </w:r>
            <w:r>
              <w:rPr>
                <w:rFonts w:ascii="Verdana" w:hAnsi="Verdana"/>
                <w:color w:val="1C1C1C"/>
                <w:sz w:val="20"/>
              </w:rPr>
              <w:t>Em vidro transparente</w:t>
            </w:r>
          </w:p>
          <w:p>
            <w:pPr>
              <w:pStyle w:val="Corpodotexto"/>
              <w:widowControl w:val="false"/>
              <w:spacing w:lineRule="auto" w:line="240" w:before="0" w:after="0"/>
              <w:rPr/>
            </w:pPr>
            <w:r>
              <w:rPr>
                <w:rFonts w:ascii="Verdana" w:hAnsi="Verdana"/>
                <w:color w:val="1C1C1C"/>
                <w:sz w:val="20"/>
              </w:rPr>
              <w:t xml:space="preserve">• </w:t>
            </w:r>
            <w:r>
              <w:rPr>
                <w:rFonts w:ascii="Verdana" w:hAnsi="Verdana"/>
                <w:color w:val="1C1C1C"/>
                <w:sz w:val="20"/>
              </w:rPr>
              <w:t>Superfície polida que facilita a limpeza e remoção dos materiais utilizados</w:t>
            </w:r>
          </w:p>
          <w:p>
            <w:pPr>
              <w:pStyle w:val="Corpodotexto"/>
              <w:widowControl w:val="false"/>
              <w:spacing w:lineRule="auto" w:line="240" w:before="0" w:after="0"/>
              <w:rPr/>
            </w:pPr>
            <w:r>
              <w:rPr>
                <w:rFonts w:ascii="Verdana" w:hAnsi="Verdana"/>
                <w:color w:val="1C1C1C"/>
                <w:sz w:val="20"/>
              </w:rPr>
              <w:t xml:space="preserve">• </w:t>
            </w:r>
            <w:r>
              <w:rPr>
                <w:rFonts w:ascii="Verdana" w:hAnsi="Verdana"/>
                <w:color w:val="1C1C1C"/>
                <w:sz w:val="20"/>
              </w:rPr>
              <w:t>Duas concavidades</w:t>
            </w:r>
          </w:p>
          <w:p>
            <w:pPr>
              <w:pStyle w:val="Corpodotexto"/>
              <w:widowControl w:val="false"/>
              <w:spacing w:lineRule="auto" w:line="240" w:before="0" w:after="0"/>
              <w:rPr/>
            </w:pPr>
            <w:r>
              <w:rPr>
                <w:rFonts w:ascii="Verdana" w:hAnsi="Verdana"/>
                <w:color w:val="1C1C1C"/>
                <w:sz w:val="20"/>
              </w:rPr>
              <w:t xml:space="preserve">• </w:t>
            </w:r>
            <w:r>
              <w:rPr>
                <w:rFonts w:ascii="Verdana" w:hAnsi="Verdana"/>
                <w:color w:val="1C1C1C"/>
                <w:sz w:val="20"/>
              </w:rPr>
              <w:t>Produto autoclavável</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30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R$4,99</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R$149,70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87</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REVELADOR PARA RAIO X – Produto pronto para uso. Isento de Registro na Anvisa. Frasco contendo no minimo 475 ml</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30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FR</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R$16,82</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R$504,60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88</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SELANTE DE FÓSSULAS E FISSURAS: fotoativado com carga a base de ionômero de vidro. Libera íons de flúor. Apresentação: estojo com 02 seringas de 5 ml e 1 seringa com 2,5 ml de ácido fosfórico a 37% em gel tixotrópico.</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caixa/kit</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R$27,37</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R$2.737,00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89</w:t>
            </w:r>
          </w:p>
        </w:tc>
        <w:tc>
          <w:tcPr>
            <w:tcW w:w="3820" w:type="dxa"/>
            <w:tcBorders>
              <w:left w:val="single" w:sz="4" w:space="0" w:color="000000"/>
              <w:bottom w:val="single" w:sz="4" w:space="0" w:color="000000"/>
              <w:right w:val="single" w:sz="4" w:space="0" w:color="000000"/>
            </w:tcBorders>
            <w:vAlign w:val="center"/>
          </w:tcPr>
          <w:p>
            <w:pPr>
              <w:pStyle w:val="Standard"/>
              <w:widowControl w:val="false"/>
              <w:spacing w:lineRule="auto" w:line="240"/>
              <w:jc w:val="both"/>
              <w:rPr/>
            </w:pPr>
            <w:r>
              <w:rPr>
                <w:rFonts w:cs="Arial" w:ascii="Verdana" w:hAnsi="Verdana"/>
                <w:color w:val="000000"/>
                <w:sz w:val="20"/>
                <w:szCs w:val="20"/>
              </w:rPr>
              <w:t>Sistema adesivo de frasco único, fotopolimerizável, para esmalte e dentina, composto por água e etanol, Bis GMA, 10% de sílica coloidal, com tamanho de partículas de 5mm, 2 – hidroxietilmetacrilato, glicerol 1,3 dimetacrilato, copolímero de ácido acrílico e ácido itacônico e diuretano dimetacrilato. Frasco na cor laranja, que permite saber o remanescente de adesivo no frasco (controle de estocagem) com tampa com mecanismo de trava, que não se desprende do frasco quando aberto, contendo 6 gramas.</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150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FRASCO</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R$101,77</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R$15.265,50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90</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color w:val="1C1C1C"/>
                <w:sz w:val="20"/>
              </w:rPr>
              <w:t>SOLUÇÃO CARIOSTÁTICA 12% – CARACTERISTICAS: Impede a formação da placa bacteriana e a desmineralização da superfície do esmalte.</w:t>
              <w:br/>
              <w:t>* Evita a progressão da cárie já instalada.</w:t>
              <w:br/>
              <w:t>* Solução a base de diamino fluoreto de prata.</w:t>
            </w:r>
          </w:p>
          <w:p>
            <w:pPr>
              <w:pStyle w:val="Normal"/>
              <w:widowControl w:val="false"/>
              <w:spacing w:lineRule="auto" w:line="240"/>
              <w:jc w:val="both"/>
              <w:rPr>
                <w:rFonts w:ascii="Verdana" w:hAnsi="Verdana"/>
                <w:sz w:val="20"/>
              </w:rPr>
            </w:pPr>
            <w:r>
              <w:rPr>
                <w:rFonts w:ascii="Verdana" w:hAnsi="Verdana"/>
                <w:sz w:val="20"/>
              </w:rPr>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FRASCO</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R$21,93</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R$438,60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91</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rPr/>
            </w:pPr>
            <w:r>
              <w:rPr>
                <w:rFonts w:ascii="Verdana" w:hAnsi="Verdana"/>
                <w:color w:val="1C1C1C"/>
                <w:sz w:val="20"/>
              </w:rPr>
              <w:t>SOLUÇÃO HEMOSTÁTICA TÓPICA - Os tecidos acondicionados se reestabelecem dentro de 1 hora;</w:t>
            </w:r>
          </w:p>
          <w:p>
            <w:pPr>
              <w:pStyle w:val="Normal"/>
              <w:widowControl w:val="false"/>
              <w:spacing w:lineRule="auto" w:line="240"/>
              <w:rPr/>
            </w:pPr>
            <w:r>
              <w:rPr>
                <w:rFonts w:ascii="Verdana" w:hAnsi="Verdana"/>
                <w:color w:val="1C1C1C"/>
                <w:sz w:val="20"/>
              </w:rPr>
              <w:t>* Não contém epinefrina;</w:t>
            </w:r>
          </w:p>
          <w:p>
            <w:pPr>
              <w:pStyle w:val="Normal"/>
              <w:widowControl w:val="false"/>
              <w:spacing w:lineRule="auto" w:line="240"/>
              <w:rPr/>
            </w:pPr>
            <w:r>
              <w:rPr>
                <w:rFonts w:ascii="Verdana" w:hAnsi="Verdana"/>
                <w:color w:val="1C1C1C"/>
                <w:sz w:val="20"/>
              </w:rPr>
              <w:t>* Atóxico e de uso seguro;</w:t>
            </w:r>
          </w:p>
          <w:p>
            <w:pPr>
              <w:pStyle w:val="Normal"/>
              <w:widowControl w:val="false"/>
              <w:spacing w:lineRule="auto" w:line="240"/>
              <w:rPr/>
            </w:pPr>
            <w:r>
              <w:rPr>
                <w:rFonts w:ascii="Verdana" w:hAnsi="Verdana"/>
                <w:color w:val="1C1C1C"/>
                <w:sz w:val="20"/>
              </w:rPr>
              <w:t>* Líquido incolor, melhor visibilidade no local de aplicação.</w:t>
            </w:r>
          </w:p>
          <w:p>
            <w:pPr>
              <w:pStyle w:val="Normal"/>
              <w:widowControl w:val="false"/>
              <w:spacing w:lineRule="auto" w:line="240"/>
              <w:rPr/>
            </w:pPr>
            <w:r>
              <w:rPr>
                <w:rFonts w:ascii="Verdana" w:hAnsi="Verdana"/>
                <w:color w:val="1C1C1C"/>
                <w:sz w:val="20"/>
              </w:rPr>
              <w:t>* FUNÇÕES DO PRODUTO: auxilia na hemostasia e retração gengival, devido a presença de cloreto de alumínio que provoca uma contração da camada superficial da gengiva livre pela precipitação de proteínas tissulares e séricas. Utilizado nos preparos cavitários para restaurações e para prótese dental. Os tecidos acondicionados se reestabelecem dentro de 1 hora. Não contém epinefrina.</w:t>
            </w:r>
          </w:p>
          <w:p>
            <w:pPr>
              <w:pStyle w:val="Normal"/>
              <w:widowControl w:val="false"/>
              <w:spacing w:lineRule="auto" w:line="240"/>
              <w:rPr/>
            </w:pPr>
            <w:r>
              <w:rPr>
                <w:rFonts w:ascii="Verdana" w:hAnsi="Verdana"/>
                <w:color w:val="1C1C1C"/>
                <w:sz w:val="20"/>
              </w:rPr>
              <w:t>Fornecido em frasco contendo 10 ml.</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50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FRASCO</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R$21,82</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R$1.091,00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92</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Esponja hemostática, obtida de gelatina liofilizada de origem porcina, esterelizada por raios gama, pesando não mais de 10mg, completamente reabsorvível pelo organismo e desenvolvida para uso diário.</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50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ENVELOPE</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R$98,14</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R$4.907,00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93</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SUGADOR DE SALIVA DESCARTÁVEL:</w:t>
            </w:r>
          </w:p>
          <w:p>
            <w:pPr>
              <w:pStyle w:val="Normal"/>
              <w:widowControl w:val="false"/>
              <w:spacing w:lineRule="auto" w:line="240"/>
              <w:jc w:val="both"/>
              <w:rPr/>
            </w:pPr>
            <w:r>
              <w:rPr>
                <w:rFonts w:ascii="Verdana" w:hAnsi="Verdana"/>
                <w:sz w:val="20"/>
              </w:rPr>
              <w:t>Confeccionado com PVC não reciclado, atóxico e higiênico, com tamanho minimo de 13 cm e pontas fundidas quimicamente ao tubo, com fio galvanizado para evitar oxidação. Fornecido em pacotes contendo no minimo 40 unidades. Azul ou colorido.</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PCT</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R$21,98</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R$21.980,00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94</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TIRA DE LIXA ABRASIVA DE AÇO:</w:t>
            </w:r>
          </w:p>
          <w:p>
            <w:pPr>
              <w:pStyle w:val="Normal"/>
              <w:widowControl w:val="false"/>
              <w:spacing w:lineRule="auto" w:line="240"/>
              <w:jc w:val="both"/>
              <w:rPr/>
            </w:pPr>
            <w:r>
              <w:rPr>
                <w:rFonts w:ascii="Verdana" w:hAnsi="Verdana"/>
                <w:sz w:val="20"/>
              </w:rPr>
              <w:t>Fornecido em envelope contendo no minimo 12 unidads de tiras de aço 4mm de largura; Fabricado em aço inox; flexivel e se adapta ao contorno das regiões próximas para qualquer tipo de material. Seus diamantes naturais possuem maior durabilidade e um corte macio. Centro neutro.</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ENVELOPE</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R$12,13</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R$2.426,00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95</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TIRA DE LIXA DE POLIÉSTER – utilizado para acabamento e polimento dental, com base resistente e flexível. Fornecido em caixa contendo no minimo 150 unidades; 4mm de largura; granulometria media (cinza) e fina (branca).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CX</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R$21,55</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R$2.155,00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96</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 xml:space="preserve">TIRA DE POLIÉSTER - </w:t>
            </w:r>
            <w:r>
              <w:rPr>
                <w:rFonts w:ascii="Verdana" w:hAnsi="Verdana"/>
                <w:color w:val="1C1C1C"/>
                <w:sz w:val="20"/>
              </w:rPr>
              <w:t>A Tira de Poliéster é indicada para separar o dente a ser restaurado do dente vizinho. Tem a função de confinar sob pressão, o material restaurador no interior da cavidade. Utilizado para isolar as restaurações feitas com resinas compostas.</w:t>
            </w:r>
          </w:p>
          <w:p>
            <w:pPr>
              <w:pStyle w:val="Corpodotexto"/>
              <w:widowControl w:val="false"/>
              <w:spacing w:lineRule="auto" w:line="240" w:before="0" w:after="140"/>
              <w:rPr/>
            </w:pPr>
            <w:r>
              <w:rPr>
                <w:rFonts w:ascii="Verdana" w:hAnsi="Verdana"/>
                <w:color w:val="1C1C1C"/>
                <w:sz w:val="20"/>
              </w:rPr>
              <w:t>- Flexível; Maior Durabilidade; comprimento de 120 mm, largura de 10mm; espessura de 0,05mm. Fornecida em envelope contendo no minimo 50 unidades.</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ENVELOPE</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R$3,67</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R$367,00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97</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color w:val="1C1C1C"/>
                <w:sz w:val="20"/>
              </w:rPr>
              <w:t>Verniz cavitário - ( compativel com a resina composta). Verniz de secagem rápida é utilizado para forro de cavidades e proteção das restaurações a silicato. Protege a polpa dentária nas restaurações à amálgama e cimento, isolando-a térmica e quimicamente. Impede a ação dos líquidos bucais e evita a descoloração.</w:t>
            </w:r>
          </w:p>
          <w:p>
            <w:pPr>
              <w:pStyle w:val="Normal"/>
              <w:widowControl w:val="false"/>
              <w:spacing w:lineRule="auto" w:line="240"/>
              <w:jc w:val="both"/>
              <w:rPr/>
            </w:pPr>
            <w:r>
              <w:rPr>
                <w:rFonts w:ascii="Verdana" w:hAnsi="Verdana"/>
                <w:color w:val="1C1C1C"/>
                <w:sz w:val="20"/>
              </w:rPr>
              <w:t>Fornecido em frasco contendo 15 ml</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FRASCO</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R$20,04</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R$400,80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98</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LIMA K série especial nº 10. Confeccionada em aço inoxidável, máxima resistência a fratura e flexibilidade, alto poder de corte, cursor de silicone pré-montado. Fornecido em embalagem contendo 06 unidades.</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CX</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R$11,76</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R$117,60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99</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Kit de Lima K 1ª (primeira série), confeccionado em aço inoxidável, autoclavável 125º (grau) . Fornecido em embalagem contendo 06 unidades</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CX</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R$23,34</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R$233,40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100</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Ficha para RX Periapical – adulto, com duas janelas. Fornecido em embalagem contendo 100 unidades.</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PCT</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R$12,47</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R$249,40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101</w:t>
            </w:r>
          </w:p>
        </w:tc>
        <w:tc>
          <w:tcPr>
            <w:tcW w:w="3820" w:type="dxa"/>
            <w:tcBorders>
              <w:left w:val="single" w:sz="4" w:space="0" w:color="000000"/>
              <w:bottom w:val="single" w:sz="4" w:space="0" w:color="000000"/>
              <w:right w:val="single" w:sz="4" w:space="0" w:color="000000"/>
            </w:tcBorders>
            <w:vAlign w:val="center"/>
          </w:tcPr>
          <w:p>
            <w:pPr>
              <w:pStyle w:val="Cabealho"/>
              <w:widowControl w:val="false"/>
              <w:spacing w:lineRule="auto" w:line="240"/>
              <w:rPr/>
            </w:pPr>
            <w:r>
              <w:rPr>
                <w:rFonts w:cs="Arial" w:ascii="Verdana" w:hAnsi="Verdana"/>
                <w:color w:val="000000"/>
                <w:sz w:val="20"/>
              </w:rPr>
              <w:t>Afastador Minnesota – produzido em liga de aço inoxidável de alta qualidade. Autoclavável.REGISTRO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R$18,31</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R$366,20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102</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Alavanca Seldim 1L – produzido em liga  de aço inoxidável de alta qualidade. 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15</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R$65,13</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R$976,95</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103</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Alavanca Seldim 1R – produzido em liga  de aço inoxidável de alta qualidade. 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15</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R$31,08</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R$466,20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104</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Alavanca Apexo nº 303, em aço inox, autoclavável. Indicada para auxiliar em cirurgias de extração dentária.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R$57,05</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R$1.141,00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105</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Cabo para espelho bucal. Especificações mínimas: cabo para espelho bucal em aço inox, autoclavável, indicado para encaixar o espelho bucal, auxiliando para maior alcance. Tamanho 13 cm.</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80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R$11,44</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R$915,20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106</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Descolador de Molt nº 09 (18cm). Produto autoclavável, não estéril. Tempo indicado de esterilização em autoclave:10 minutos a 134° celsius.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R$83,81</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R$1.676,20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107</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Escavador nº 11-1/2, fabricado em aço inoxidável de alta qualidade.</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R$14,21</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R$142,10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108</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Escavador nº 17 – fabricado em aço inoxidável de alta qualidade.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R$13,63</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R$136,30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109</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Escavador nº 20 – fabricado em aço inoxidável. 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R$10,91</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R$109,10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110</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Espátula de inserção nº 01 – produzido em liga de aço inoxidável de alta qualidade. Cabo em alumínio anodizado. Totalmente 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R$25,09</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R$250,00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111</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Espátula de titâneo – com bolinha para resina nº 2 – fabricada em aço inox, conta com ponta ativa banhada em nitreto de titâneo (antiaderente). Busca oferecer um fácil manuseio ao profissional.REGISTRO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R$78,62</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R$786,20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112</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Espátula de titâneo com Ward para resina – com bolinha para resina nº 2 – fabricada em aço inox, 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R$98,59</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R$985,90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113</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Espátula titaneo dupla resina – pontas de aço inox revestidas em nitreto de titanio. Fabricada em aço inox, 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R$52,39</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R$523,90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114</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Espátula 70 dupla – produzido em liga de aço inoxidável de alta qualidade. Cabo em alumínio anodizado. Autoclavável. Validade indeterminada.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R$18,63</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R$186,30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115</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Espelho bucal nº 05 – limpeza e esterilização em autoclave.</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R$9,11</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R$1.822,00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116</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FORCEPS ADULTO Nº 01 – fabricado em aço inoxidável. 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R$121,32</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R$1.213,20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117</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FORCEPS ADULTO Nº 150 – fabricado em aço inoxidável. 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R$99,02</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R$990,20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118</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FORCEPS ADULTO Nº 151 – fabricado em aço inoxidável. 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R$116,51</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R$1.165,10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119</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FORCEPS ADULTO Nº 18 L – fabricado em aço inoxidável. 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R$104,76</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R$1.047,60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120</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FORCEPS ADULTO Nº 18 R – fabricado em aço inoxidável. 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R$96,22</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R$962,20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121</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FORCEPS ADULTO Nº 17 – fabricado em aço inoxidável. 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R$97,58</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R$975,80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122</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FORCEPS ADULTO Nº 69 – fabricado em aço inoxidável. 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R$130,25</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R$1.302,50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123</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FORCEPS ADULTO Nº 27 – fabricado em aço inoxidável. 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R$97,65</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R$976,50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124</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FORCEPS ADULTO Nº 18 R – fabricado em aço inoxidável. 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R$83,79</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R$837,90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125</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FORCEPS ADULTO Nº 18 L – fabricado em aço inoxidável. 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R$103,27</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R$1.032,70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126</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Kit de pontas ultrasson Tip Inserto – compatível com aparelho de ultrasson Jet Sonic BP Saevo..Autoclavável. Em aço inoxidavel.</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R$172,00</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R$1.720,00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127</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Porta agulha Mathieu 14 cm – em aço inoxidável – esterilizada em autoclave. Cor prata.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R$59,70</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R$1.194,00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128</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Pinça clínica comum 317 – em aço inoxidável – autoclavável. Possui Pino guia.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R$15,86</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R$1.596,00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129</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color w:val="1C1C1C"/>
                <w:sz w:val="20"/>
              </w:rPr>
              <w:t>Porta matriz de aço inox Toflemeri . Desenvolvido em aço inoxidável, é resistente e oferece durabilidade. Autoclavável.</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20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R$26,65</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R$533,00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130</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Porta agulha Mayo Hegar – produto confeccionado em aço inoxidável. Medida 14cm. Fornecido em embalagem plástica individual, constando os dados de identificação, procedência e rastreabilidade.Deve possuir garantia de 10 anos contra defeitos de fabricação.Certificações fabricado de acordo com padrões internacionais de qualidade, normas da ABNT , CE.</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R$37,53</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R$375,30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131</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Porta algodão Inox – sem mola. Confeccionado em aço inoxidável. Dimensões aproximadas: 8x10cm, compacto e funcional. Acabamento premium: superfície lisa, livre de rebarbas para um manuseio seguro. Uso profissional: ideal para consultórios odontológicos, hospitais e clínicas.</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R$58,80</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R$588,00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132</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Saca broca universal – material autoclavável</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R$36,16</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R$361,60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133</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Sonda exploradora nº 05 – em aço inox, autoclavável. REGISTRO NA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50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R$20,97</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R$1.048,50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134</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Tesoura cirúrgica para uso geral 15 cm reta. Fabricada em aço inoxidável.</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R$50,35</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R$503,50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135</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Tesoura Iris curva – tamanho 11cm – fabricada em aço inoxidavel, autoclavável de alta qualidade, lâmina curva para cortes precisos e em superficies delicadas, acabamento: superficie polida que aumenta a durabilidade e resistência à corrosão.</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R$35,99</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R$359,90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136</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rPr>
                <w:color w:val="000000"/>
              </w:rPr>
            </w:pPr>
            <w:r>
              <w:rPr>
                <w:rFonts w:ascii="Verdana" w:hAnsi="Verdana"/>
                <w:color w:val="000000"/>
                <w:sz w:val="20"/>
              </w:rPr>
              <w:t>Broqueiro 60 furos FG – em aluminio- Autoclavável (121°C). .Com sistema de abertura e fechamento da tampa .Confeccionado em material resistente para permitir a esterilização em autoclave. </w:t>
              <w:br/>
            </w:r>
            <w:bookmarkStart w:id="0" w:name="EGRHME2"/>
            <w:bookmarkEnd w:id="0"/>
            <w:r>
              <w:rPr>
                <w:rFonts w:ascii="Verdana" w:hAnsi="Verdana"/>
                <w:color w:val="000000"/>
                <w:sz w:val="20"/>
              </w:rPr>
              <w:t>* Comprimento: 8cm.</w:t>
              <w:br/>
              <w:t>* Altura: 3cm.</w:t>
              <w:br/>
              <w:t>* Largura: 5cm.</w:t>
              <w:br/>
              <w:t>* Cor: prata.</w:t>
              <w:br/>
              <w:t>* Capacidade: 60 furos. REGISTRO DA ANVISA.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R$103,14</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R$1.031,40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137</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Seringa carpule nº 12 cm com as seguintes especificações mínimas: estéril, embalada individualmente, fabricada em polipropileno e esterelizada por irradiação de raios gama. Com refluxo. Comprimento da seringa: 12cm. REGISTRO NA ANVISA. Fornecida em caixa contendo no minimo 20 unidades.</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01</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CX</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R$58,16</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R$58,16</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138</w:t>
            </w:r>
          </w:p>
        </w:tc>
        <w:tc>
          <w:tcPr>
            <w:tcW w:w="382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pPr>
            <w:r>
              <w:rPr>
                <w:rFonts w:ascii="Verdana" w:hAnsi="Verdana"/>
                <w:sz w:val="20"/>
              </w:rPr>
              <w:t>Sindesmotomo nº 01-oitavado, com as seguintes especificações mínimas: produzido em liga de aço inoxidavel de alta qualidade, cabo em aluminio anodizado. Totalmente autoclavavel. Validade: Indeterminada.</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R$44,82</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R$448,20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139</w:t>
            </w:r>
          </w:p>
        </w:tc>
        <w:tc>
          <w:tcPr>
            <w:tcW w:w="3820" w:type="dxa"/>
            <w:tcBorders>
              <w:left w:val="single" w:sz="4" w:space="0" w:color="000000"/>
              <w:bottom w:val="single" w:sz="4" w:space="0" w:color="000000"/>
              <w:right w:val="single" w:sz="4" w:space="0" w:color="000000"/>
            </w:tcBorders>
            <w:vAlign w:val="center"/>
          </w:tcPr>
          <w:p>
            <w:pPr>
              <w:pStyle w:val="ListParagraph"/>
              <w:widowControl w:val="false"/>
              <w:suppressAutoHyphens w:val="true"/>
              <w:bidi w:val="0"/>
              <w:spacing w:lineRule="auto" w:line="240" w:before="0" w:after="200"/>
              <w:ind w:left="57" w:right="0" w:hanging="0"/>
              <w:contextualSpacing/>
              <w:jc w:val="left"/>
              <w:rPr/>
            </w:pPr>
            <w:r>
              <w:rPr>
                <w:rFonts w:eastAsia="Times New Roman" w:cs="Arial" w:ascii="Verdana" w:hAnsi="Verdana"/>
                <w:b/>
                <w:bCs/>
                <w:color w:val="000000"/>
                <w:sz w:val="20"/>
                <w:szCs w:val="20"/>
              </w:rPr>
              <w:t>FOTOPOLIMERIZADOR</w:t>
            </w:r>
            <w:r>
              <w:rPr>
                <w:rFonts w:eastAsia="Times New Roman" w:cs="Arial" w:ascii="Verdana" w:hAnsi="Verdana"/>
                <w:color w:val="000000"/>
                <w:sz w:val="20"/>
                <w:szCs w:val="20"/>
              </w:rPr>
              <w:t> - Deve possuir potência de até 2500 mW/cm². Possuir no mínimo dois modos de potência para o dentista usar em baixa ou em alta potencia de acordo com o procedimento necessário. Ter capacidade de polimerizar camadas de resinas em apenas 1 segundo dando agilidade aos trabalhos em nossos postos de saude. O led deve ficar na ponta do aparelho para melhor entrega de energia. não deve ter fibra optica visando evitar quebras e custos para o município. Deve acompanhar protetor ocular, ponta de aplicação E capa de proteção da ponta. A bateria deve ser de li-Ion de no mínimo 1300mAh, O led deve ser de no mínimo 5W de potência, o peso máximo deve ser de 300G.</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10</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R$936,00</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R$ 9.360,00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140</w:t>
            </w:r>
          </w:p>
        </w:tc>
        <w:tc>
          <w:tcPr>
            <w:tcW w:w="3820" w:type="dxa"/>
            <w:tcBorders>
              <w:left w:val="single" w:sz="4" w:space="0" w:color="000000"/>
              <w:bottom w:val="single" w:sz="4" w:space="0" w:color="000000"/>
              <w:right w:val="single" w:sz="4" w:space="0" w:color="000000"/>
            </w:tcBorders>
            <w:vAlign w:val="center"/>
          </w:tcPr>
          <w:p>
            <w:pPr>
              <w:pStyle w:val="Default"/>
              <w:widowControl w:val="false"/>
              <w:spacing w:lineRule="auto" w:line="240"/>
              <w:jc w:val="both"/>
              <w:rPr/>
            </w:pPr>
            <w:r>
              <w:rPr>
                <w:rFonts w:ascii="Verdana" w:hAnsi="Verdana"/>
                <w:b/>
                <w:bCs/>
                <w:sz w:val="20"/>
                <w:szCs w:val="20"/>
              </w:rPr>
              <w:t>ULTRASSOM</w:t>
            </w:r>
            <w:r>
              <w:rPr>
                <w:rFonts w:ascii="Verdana" w:hAnsi="Verdana"/>
                <w:sz w:val="20"/>
                <w:szCs w:val="20"/>
              </w:rPr>
              <w:t xml:space="preserve"> de 28Khz com três modos de trabalho, sendo endodontia, periodontia e raspagem. Compacto e com peso máximo de 1,0 quilo. Estrutura construída em material resistente. Acionamentos das funções com apenas um toque e sem necessidade de apertar botões. Deve possuir Console com painel de controle totalmente liso, com facilidade de assepsia e impermeável . O Transdutor deve ser construído em Duro-alumínio,removível e autoclavável, suportando até 134ºC. Deve possibilitar força de saída de até 2 niltons e potência de até 20W. Acompanha pedal de acionamento equipado a prova de gotejamento. Deve vir acompanhado de pontas, uma chave de torque, sistema de engates rápidos e reservatório de água, anéis impermeáveis e led.</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04</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R$ 2.083,33</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R$ 8.333,32</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141</w:t>
            </w:r>
          </w:p>
        </w:tc>
        <w:tc>
          <w:tcPr>
            <w:tcW w:w="3820" w:type="dxa"/>
            <w:tcBorders>
              <w:left w:val="single" w:sz="4" w:space="0" w:color="000000"/>
              <w:bottom w:val="single" w:sz="4" w:space="0" w:color="000000"/>
              <w:right w:val="single" w:sz="4" w:space="0" w:color="000000"/>
            </w:tcBorders>
            <w:vAlign w:val="center"/>
          </w:tcPr>
          <w:p>
            <w:pPr>
              <w:pStyle w:val="NormalWeb"/>
              <w:widowControl w:val="false"/>
              <w:shd w:val="clear" w:color="auto" w:fill="FFFFFF"/>
              <w:spacing w:lineRule="auto" w:line="240" w:before="0" w:after="0"/>
              <w:jc w:val="both"/>
              <w:rPr/>
            </w:pPr>
            <w:r>
              <w:rPr>
                <w:rFonts w:cs="Arial" w:ascii="Verdana" w:hAnsi="Verdana"/>
                <w:b/>
                <w:bCs/>
                <w:sz w:val="20"/>
              </w:rPr>
              <w:t>FISIOMOCHO</w:t>
            </w:r>
            <w:r>
              <w:rPr>
                <w:rFonts w:cs="Arial" w:ascii="Verdana" w:hAnsi="Verdana"/>
                <w:sz w:val="20"/>
              </w:rPr>
              <w:t xml:space="preserve"> com r</w:t>
            </w:r>
            <w:r>
              <w:rPr>
                <w:rFonts w:cs="Arial" w:ascii="Verdana" w:hAnsi="Verdana"/>
                <w:color w:val="290D0D"/>
                <w:sz w:val="20"/>
              </w:rPr>
              <w:t>egulagem de altura do assento através de pistão cromado. Regulagem de altura do encosto através de mecanismo catraca auto ajustável com no mínimo 10 pontos de regulagem; Mecanismo sincronizado de regulagem de assento/encosto. Acabamento nas partes metálicas em cromo duro. Cinco rodízios em poliuretano de no mínimo 60 mm de diâmetro na cor cinza com banda em PU, encosto ensacado com espuma injetada e revestida revestido por tecido sintético antibactericida. Assento estofado com espuma injetada e revestido por tecido sintético antibactericida, antichama e impermeável, inclinação do encosto através de mecanismo alavancável 35 graus.</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04</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R$970,00</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R$3.880,00</w:t>
            </w:r>
          </w:p>
        </w:tc>
      </w:tr>
      <w:tr>
        <w:trPr>
          <w:trHeight w:val="344" w:hRule="atLeast"/>
        </w:trPr>
        <w:tc>
          <w:tcPr>
            <w:tcW w:w="961"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cs="Arial" w:ascii="Verdana" w:hAnsi="Verdana"/>
                <w:sz w:val="20"/>
              </w:rPr>
              <w:t>142</w:t>
            </w:r>
          </w:p>
        </w:tc>
        <w:tc>
          <w:tcPr>
            <w:tcW w:w="3820" w:type="dxa"/>
            <w:tcBorders>
              <w:left w:val="single" w:sz="4" w:space="0" w:color="000000"/>
              <w:bottom w:val="single" w:sz="4" w:space="0" w:color="000000"/>
              <w:right w:val="single" w:sz="4" w:space="0" w:color="000000"/>
            </w:tcBorders>
            <w:vAlign w:val="center"/>
          </w:tcPr>
          <w:p>
            <w:pPr>
              <w:pStyle w:val="Standard"/>
              <w:widowControl w:val="false"/>
              <w:shd w:val="clear" w:color="auto" w:fill="FFFFFF"/>
              <w:spacing w:lineRule="auto" w:line="240"/>
              <w:jc w:val="both"/>
              <w:rPr/>
            </w:pPr>
            <w:r>
              <w:rPr>
                <w:rFonts w:eastAsia="Times New Roman" w:cs="Arial" w:ascii="Verdana" w:hAnsi="Verdana"/>
                <w:b/>
                <w:bCs/>
                <w:sz w:val="20"/>
                <w:szCs w:val="20"/>
                <w:lang w:eastAsia="pt-BR"/>
              </w:rPr>
              <w:t>SeLADORA ODONTOLOGICA</w:t>
            </w:r>
            <w:r>
              <w:rPr>
                <w:rFonts w:eastAsia="Times New Roman" w:cs="Arial" w:ascii="Verdana" w:hAnsi="Verdana"/>
                <w:sz w:val="20"/>
                <w:szCs w:val="20"/>
                <w:lang w:eastAsia="pt-BR"/>
              </w:rPr>
              <w:t>– com estrutura construída em aço com largura de selagem mínima de  13 mm, Possibilita selagem de embalagens com largura de até 300mm. Deve possuir Controle eletrônico de temperatura até 300ºC, potência mínima de 150W, Alavanca de selagem. Deve acompanhar suporte e cortador de bobinas com faca em aço temperado rotativa com largura de no mínimo 350mm.</w:t>
            </w:r>
          </w:p>
        </w:tc>
        <w:tc>
          <w:tcPr>
            <w:tcW w:w="883" w:type="dxa"/>
            <w:tcBorders>
              <w:left w:val="single" w:sz="4" w:space="0" w:color="000000"/>
              <w:bottom w:val="single" w:sz="4" w:space="0" w:color="000000"/>
            </w:tcBorders>
            <w:vAlign w:val="center"/>
          </w:tcPr>
          <w:p>
            <w:pPr>
              <w:pStyle w:val="Normal"/>
              <w:widowControl w:val="false"/>
              <w:spacing w:lineRule="auto" w:line="240" w:before="240" w:after="60"/>
              <w:jc w:val="center"/>
              <w:rPr/>
            </w:pPr>
            <w:r>
              <w:rPr>
                <w:rFonts w:ascii="Verdana" w:hAnsi="Verdana"/>
                <w:sz w:val="20"/>
              </w:rPr>
              <w:t>03</w:t>
            </w:r>
          </w:p>
        </w:tc>
        <w:tc>
          <w:tcPr>
            <w:tcW w:w="671" w:type="dxa"/>
            <w:tcBorders>
              <w:left w:val="single" w:sz="4" w:space="0" w:color="000000"/>
              <w:bottom w:val="single" w:sz="4" w:space="0" w:color="000000"/>
            </w:tcBorders>
            <w:vAlign w:val="center"/>
          </w:tcPr>
          <w:p>
            <w:pPr>
              <w:pStyle w:val="Normal"/>
              <w:widowControl w:val="false"/>
              <w:spacing w:lineRule="auto" w:line="240"/>
              <w:jc w:val="both"/>
              <w:rPr/>
            </w:pPr>
            <w:r>
              <w:rPr>
                <w:rFonts w:eastAsia="Calibri" w:cs="Arial" w:ascii="Verdana" w:hAnsi="Verdana"/>
                <w:sz w:val="20"/>
                <w:lang w:eastAsia="en-US"/>
              </w:rPr>
              <w:t>UND</w:t>
            </w:r>
          </w:p>
        </w:tc>
        <w:tc>
          <w:tcPr>
            <w:tcW w:w="1612"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R$698,08</w:t>
            </w:r>
          </w:p>
        </w:tc>
        <w:tc>
          <w:tcPr>
            <w:tcW w:w="1636" w:type="dxa"/>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center"/>
              <w:rPr/>
            </w:pPr>
            <w:r>
              <w:rPr>
                <w:rFonts w:ascii="Verdana" w:hAnsi="Verdana"/>
                <w:sz w:val="20"/>
              </w:rPr>
              <w:t>R$2.094,24</w:t>
            </w:r>
          </w:p>
        </w:tc>
      </w:tr>
      <w:tr>
        <w:trPr>
          <w:trHeight w:val="206" w:hRule="atLeast"/>
        </w:trPr>
        <w:tc>
          <w:tcPr>
            <w:tcW w:w="9583" w:type="dxa"/>
            <w:gridSpan w:val="6"/>
            <w:tcBorders>
              <w:left w:val="single" w:sz="4" w:space="0" w:color="000000"/>
              <w:bottom w:val="single" w:sz="4" w:space="0" w:color="000000"/>
              <w:right w:val="single" w:sz="4" w:space="0" w:color="000000"/>
            </w:tcBorders>
            <w:vAlign w:val="center"/>
          </w:tcPr>
          <w:p>
            <w:pPr>
              <w:pStyle w:val="Contedodatabela"/>
              <w:widowControl w:val="false"/>
              <w:spacing w:lineRule="auto" w:line="240"/>
              <w:jc w:val="right"/>
              <w:rPr>
                <w:rFonts w:ascii="Verdana" w:hAnsi="Verdana" w:cs="Arial"/>
                <w:b/>
                <w:sz w:val="20"/>
                <w:u w:val="single"/>
              </w:rPr>
            </w:pPr>
            <w:r>
              <w:rPr>
                <w:rFonts w:cs="Arial" w:ascii="Verdana" w:hAnsi="Verdana"/>
                <w:b/>
                <w:sz w:val="20"/>
                <w:u w:val="single"/>
              </w:rPr>
            </w:r>
          </w:p>
          <w:p>
            <w:pPr>
              <w:pStyle w:val="Normal"/>
              <w:widowControl w:val="false"/>
              <w:spacing w:lineRule="auto" w:line="240"/>
              <w:jc w:val="right"/>
              <w:rPr/>
            </w:pPr>
            <w:r>
              <w:rPr>
                <w:rFonts w:cs="Arial" w:ascii="Verdana" w:hAnsi="Verdana"/>
                <w:b/>
                <w:bCs/>
                <w:sz w:val="20"/>
              </w:rPr>
              <w:t>VALOR ESTIMADO TOTAL:  R$447.752,44</w:t>
            </w:r>
          </w:p>
        </w:tc>
      </w:tr>
    </w:tbl>
    <w:p>
      <w:pPr>
        <w:pStyle w:val="Normal"/>
        <w:widowControl w:val="false"/>
        <w:tabs>
          <w:tab w:val="clear" w:pos="708"/>
          <w:tab w:val="left" w:pos="0" w:leader="none"/>
        </w:tabs>
        <w:suppressAutoHyphens w:val="false"/>
        <w:spacing w:lineRule="auto" w:line="240"/>
        <w:jc w:val="both"/>
        <w:rPr>
          <w:rFonts w:ascii="Verdana" w:hAnsi="Verdana" w:cs="Arial"/>
          <w:b/>
          <w:sz w:val="20"/>
          <w:u w:val="single"/>
        </w:rPr>
      </w:pPr>
      <w:r>
        <w:rPr>
          <w:rFonts w:cs="Arial" w:ascii="Verdana" w:hAnsi="Verdana"/>
          <w:b/>
          <w:sz w:val="20"/>
          <w:u w:val="single"/>
        </w:rPr>
      </w:r>
    </w:p>
    <w:p>
      <w:pPr>
        <w:pStyle w:val="Normal"/>
        <w:suppressAutoHyphens w:val="false"/>
        <w:spacing w:lineRule="auto" w:line="240"/>
        <w:ind w:left="-22" w:hanging="0"/>
        <w:jc w:val="both"/>
        <w:rPr/>
      </w:pPr>
      <w:r>
        <w:rPr>
          <w:rFonts w:ascii="Verdana" w:hAnsi="Verdana"/>
          <w:iCs/>
          <w:sz w:val="20"/>
        </w:rPr>
        <w:t>1.2</w:t>
      </w:r>
      <w:bookmarkStart w:id="1" w:name="art23§712"/>
      <w:r>
        <w:rPr>
          <w:rFonts w:ascii="Verdana" w:hAnsi="Verdana"/>
          <w:iCs/>
          <w:sz w:val="20"/>
        </w:rPr>
        <w:t>. Os produtos propostos deverão, obrigatoriamente, atender as exigências de qualidade, observados os padrões e normas baixadas pelos órgãos competentes de controle e fiscalização de qualidade industrial ou equiparadas.</w:t>
      </w:r>
      <w:bookmarkStart w:id="2" w:name="art23§711"/>
    </w:p>
    <w:p>
      <w:pPr>
        <w:pStyle w:val="ListParagraph"/>
        <w:suppressAutoHyphens w:val="false"/>
        <w:spacing w:lineRule="auto" w:line="240"/>
        <w:ind w:left="-22" w:hanging="0"/>
        <w:jc w:val="both"/>
        <w:rPr/>
      </w:pPr>
      <w:r>
        <w:rPr>
          <w:rFonts w:ascii="Verdana" w:hAnsi="Verdana"/>
          <w:iCs/>
          <w:sz w:val="20"/>
          <w:szCs w:val="20"/>
        </w:rPr>
        <w:t xml:space="preserve">1.3. </w:t>
      </w:r>
      <w:r>
        <w:rPr>
          <w:rFonts w:cs="Arial" w:ascii="Verdana" w:hAnsi="Verdana"/>
          <w:iCs/>
          <w:color w:val="000000"/>
          <w:sz w:val="20"/>
          <w:szCs w:val="20"/>
        </w:rPr>
        <w:t xml:space="preserve">O prazo de vigência da </w:t>
      </w:r>
      <w:r>
        <w:rPr>
          <w:rFonts w:eastAsia="Times New Roman" w:cs="Arial" w:ascii="Verdana" w:hAnsi="Verdana"/>
          <w:iCs/>
          <w:color w:val="000000"/>
          <w:sz w:val="20"/>
          <w:szCs w:val="20"/>
        </w:rPr>
        <w:t>aquisição</w:t>
      </w:r>
      <w:r>
        <w:rPr>
          <w:rFonts w:cs="Arial" w:ascii="Verdana" w:hAnsi="Verdana"/>
          <w:iCs/>
          <w:color w:val="000000"/>
          <w:sz w:val="20"/>
          <w:szCs w:val="20"/>
        </w:rPr>
        <w:t xml:space="preserve"> será de 01 (</w:t>
      </w:r>
      <w:r>
        <w:rPr>
          <w:rFonts w:eastAsia="Times New Roman" w:cs="Arial" w:ascii="Verdana" w:hAnsi="Verdana"/>
          <w:iCs/>
          <w:color w:val="000000"/>
          <w:sz w:val="20"/>
          <w:szCs w:val="20"/>
        </w:rPr>
        <w:t>um</w:t>
      </w:r>
      <w:r>
        <w:rPr>
          <w:rFonts w:cs="Arial" w:ascii="Verdana" w:hAnsi="Verdana"/>
          <w:iCs/>
          <w:color w:val="000000"/>
          <w:sz w:val="20"/>
          <w:szCs w:val="20"/>
        </w:rPr>
        <w:t xml:space="preserve">) ano, </w:t>
      </w:r>
      <w:r>
        <w:rPr>
          <w:rFonts w:cs="Arial" w:ascii="Verdana" w:hAnsi="Verdana"/>
          <w:iCs/>
          <w:color w:val="FF0000"/>
          <w:sz w:val="20"/>
          <w:szCs w:val="20"/>
        </w:rPr>
        <w:t xml:space="preserve"> </w:t>
      </w:r>
      <w:r>
        <w:rPr>
          <w:rFonts w:cs="Arial" w:ascii="Verdana" w:hAnsi="Verdana"/>
          <w:iCs/>
          <w:color w:val="000000"/>
          <w:sz w:val="20"/>
          <w:szCs w:val="20"/>
        </w:rPr>
        <w:t>contados a partir da assinatura da Ata de Registro de Preços.</w:t>
      </w:r>
    </w:p>
    <w:p>
      <w:pPr>
        <w:pStyle w:val="ListParagraph"/>
        <w:tabs>
          <w:tab w:val="clear" w:pos="708"/>
          <w:tab w:val="left" w:pos="0" w:leader="none"/>
        </w:tabs>
        <w:suppressAutoHyphens w:val="false"/>
        <w:spacing w:lineRule="auto" w:line="240"/>
        <w:ind w:left="0" w:hanging="0"/>
        <w:jc w:val="both"/>
        <w:rPr/>
      </w:pPr>
      <w:r>
        <w:rPr>
          <w:rFonts w:eastAsia="Times New Roman" w:cs="Times New Roman" w:ascii="Verdana" w:hAnsi="Verdana"/>
          <w:iCs/>
          <w:color w:val="000000"/>
          <w:sz w:val="20"/>
          <w:szCs w:val="20"/>
        </w:rPr>
        <w:t>1.4. O custo estimado total da aquisição é de</w:t>
      </w:r>
      <w:r>
        <w:rPr>
          <w:rFonts w:eastAsia="Times New Roman" w:cs="Times New Roman" w:ascii="Verdana" w:hAnsi="Verdana"/>
          <w:i/>
          <w:iCs/>
          <w:color w:val="FF0000"/>
          <w:sz w:val="20"/>
          <w:szCs w:val="20"/>
        </w:rPr>
        <w:t xml:space="preserve"> </w:t>
      </w:r>
      <w:r>
        <w:rPr>
          <w:rFonts w:eastAsia="Times New Roman" w:cs="Arial" w:ascii="Verdana" w:hAnsi="Verdana"/>
          <w:color w:val="000000"/>
          <w:sz w:val="20"/>
          <w:szCs w:val="20"/>
          <w:lang w:eastAsia="zh-CN"/>
        </w:rPr>
        <w:t>R$ 447.752,44 ( quatrocentos e quarenta e sete mil setecentos e cinquenta e dois reais e quarenta e quatro centavos)</w:t>
      </w:r>
      <w:r>
        <w:rPr>
          <w:rFonts w:eastAsia="Times New Roman" w:cs="Times New Roman" w:ascii="Verdana" w:hAnsi="Verdana"/>
          <w:i/>
          <w:iCs/>
          <w:color w:val="000000"/>
          <w:sz w:val="20"/>
          <w:szCs w:val="20"/>
        </w:rPr>
        <w:t xml:space="preserve"> </w:t>
      </w:r>
      <w:r>
        <w:rPr>
          <w:rFonts w:eastAsia="Times New Roman" w:cs="Times New Roman" w:ascii="Verdana" w:hAnsi="Verdana"/>
          <w:iCs/>
          <w:color w:val="000000"/>
          <w:sz w:val="20"/>
          <w:szCs w:val="20"/>
        </w:rPr>
        <w:t>conforme custos unitários  apostos nos orçamentos e no quadro comparativo de preços simples em anexo. As cotações foram realizadas através do Painel eletrônico BANCO DE PREÇOS e sites da Internet com empresas que trabalham com os produtos que pretendemos adquirir.</w:t>
      </w:r>
    </w:p>
    <w:p>
      <w:pPr>
        <w:pStyle w:val="ListParagraph"/>
        <w:tabs>
          <w:tab w:val="clear" w:pos="708"/>
          <w:tab w:val="left" w:pos="0" w:leader="none"/>
        </w:tabs>
        <w:suppressAutoHyphens w:val="false"/>
        <w:spacing w:lineRule="auto" w:line="240" w:before="0" w:after="0"/>
        <w:ind w:left="0" w:hanging="0"/>
        <w:contextualSpacing/>
        <w:jc w:val="both"/>
        <w:rPr/>
      </w:pPr>
      <w:r>
        <w:rPr>
          <w:rFonts w:ascii="Verdana" w:hAnsi="Verdana"/>
          <w:sz w:val="20"/>
          <w:szCs w:val="20"/>
        </w:rPr>
        <w:t xml:space="preserve">1.5. </w:t>
      </w:r>
      <w:r>
        <w:rPr>
          <w:rFonts w:eastAsia="Times New Roman" w:cs="Times New Roman" w:ascii="Verdana" w:hAnsi="Verdana"/>
          <w:color w:val="000000"/>
          <w:sz w:val="20"/>
          <w:szCs w:val="20"/>
        </w:rPr>
        <w:t>Justifica-se a utilização de modelo de referência a fim de determinar com maior precisão a qualidade do produto que esta Administração deseja, com a finalidade de garantir maior eficiência nas compras realizadas pelo Município (art. 41, I “d, Lei 14.133/2021).</w:t>
      </w:r>
    </w:p>
    <w:p>
      <w:pPr>
        <w:pStyle w:val="ListParagraph"/>
        <w:tabs>
          <w:tab w:val="clear" w:pos="708"/>
          <w:tab w:val="left" w:pos="0" w:leader="none"/>
        </w:tabs>
        <w:suppressAutoHyphens w:val="false"/>
        <w:spacing w:lineRule="auto" w:line="240" w:before="0" w:after="0"/>
        <w:ind w:left="0" w:hanging="0"/>
        <w:contextualSpacing/>
        <w:jc w:val="both"/>
        <w:rPr/>
      </w:pPr>
      <w:r>
        <w:rPr/>
      </w:r>
    </w:p>
    <w:p>
      <w:pPr>
        <w:pStyle w:val="Nivel1"/>
        <w:spacing w:lineRule="auto" w:line="240" w:before="0" w:after="0"/>
        <w:rPr/>
      </w:pPr>
      <w:r>
        <w:rPr>
          <w:rFonts w:cs="Times New Roman" w:ascii="Verdana" w:hAnsi="Verdana"/>
          <w:bCs/>
          <w:sz w:val="20"/>
          <w:szCs w:val="20"/>
        </w:rPr>
        <w:t>2. FUNDAMENTAÇÃO E DESCRIÇÃO DA NECESSIDADE DA AQUISIÇÃO</w:t>
      </w:r>
      <w:bookmarkStart w:id="3" w:name="art23§73"/>
      <w:bookmarkStart w:id="4" w:name="art23§71"/>
    </w:p>
    <w:p>
      <w:pPr>
        <w:pStyle w:val="ListParagraph"/>
        <w:spacing w:lineRule="auto" w:line="240" w:before="0" w:after="0"/>
        <w:ind w:left="0" w:hanging="0"/>
        <w:contextualSpacing/>
        <w:jc w:val="both"/>
        <w:rPr/>
      </w:pPr>
      <w:r>
        <w:rPr>
          <w:rFonts w:cs="Arial" w:ascii="Verdana" w:hAnsi="Verdana"/>
          <w:b/>
          <w:bCs/>
          <w:sz w:val="20"/>
          <w:szCs w:val="20"/>
        </w:rPr>
        <w:t xml:space="preserve">2.1. </w:t>
      </w:r>
      <w:r>
        <w:rPr>
          <w:rFonts w:cs="Arial" w:ascii="Verdana" w:hAnsi="Verdana"/>
          <w:sz w:val="20"/>
          <w:szCs w:val="20"/>
        </w:rPr>
        <w:t xml:space="preserve">Aquisição </w:t>
      </w:r>
      <w:r>
        <w:rPr>
          <w:rFonts w:cs="Arial" w:ascii="Verdana" w:hAnsi="Verdana"/>
          <w:b/>
          <w:sz w:val="20"/>
          <w:szCs w:val="20"/>
        </w:rPr>
        <w:t>por meio de Registro de Preços</w:t>
      </w:r>
      <w:r>
        <w:rPr>
          <w:rFonts w:cs="Arial" w:ascii="Verdana" w:hAnsi="Verdana"/>
          <w:sz w:val="20"/>
          <w:szCs w:val="20"/>
        </w:rPr>
        <w:t>;</w:t>
      </w:r>
    </w:p>
    <w:p>
      <w:pPr>
        <w:pStyle w:val="ListParagraph"/>
        <w:spacing w:lineRule="auto" w:line="240" w:before="0" w:after="0"/>
        <w:ind w:left="0" w:hanging="0"/>
        <w:contextualSpacing/>
        <w:jc w:val="both"/>
        <w:rPr/>
      </w:pPr>
      <w:r>
        <w:rPr>
          <w:rFonts w:eastAsia="Arial" w:cs="Arial" w:ascii="Verdana" w:hAnsi="Verdana"/>
          <w:b/>
          <w:sz w:val="20"/>
          <w:szCs w:val="20"/>
        </w:rPr>
        <w:t xml:space="preserve">2.2. </w:t>
      </w:r>
      <w:r>
        <w:rPr>
          <w:rFonts w:eastAsia="Arial" w:cs="Arial" w:ascii="Verdana" w:hAnsi="Verdana"/>
          <w:b/>
          <w:bCs/>
          <w:sz w:val="20"/>
          <w:szCs w:val="20"/>
        </w:rPr>
        <w:t xml:space="preserve"> </w:t>
      </w:r>
      <w:r>
        <w:rPr>
          <w:rFonts w:eastAsia="Arial" w:cs="Arial" w:ascii="Verdana" w:hAnsi="Verdana"/>
          <w:bCs/>
          <w:color w:val="000000"/>
          <w:sz w:val="20"/>
          <w:szCs w:val="20"/>
        </w:rPr>
        <w:t xml:space="preserve">A aquisição dos materiais serão utilizados em inúmeros procedimentos realizados nos Consultórios Odontológicos vinculados à Secretaria Municipal de Saúde dessa municipalidade. </w:t>
      </w:r>
    </w:p>
    <w:p>
      <w:pPr>
        <w:pStyle w:val="ListParagraph"/>
        <w:widowControl w:val="false"/>
        <w:tabs>
          <w:tab w:val="clear" w:pos="708"/>
          <w:tab w:val="left" w:pos="-2410" w:leader="none"/>
          <w:tab w:val="left" w:pos="567" w:leader="none"/>
        </w:tabs>
        <w:spacing w:lineRule="auto" w:line="240" w:before="0" w:after="0"/>
        <w:ind w:left="0" w:hanging="0"/>
        <w:contextualSpacing/>
        <w:jc w:val="both"/>
        <w:rPr/>
      </w:pPr>
      <w:r>
        <w:rPr>
          <w:rFonts w:cs="Arial" w:ascii="Verdana" w:hAnsi="Verdana"/>
          <w:b/>
          <w:bCs/>
          <w:color w:val="000000"/>
          <w:sz w:val="20"/>
          <w:szCs w:val="20"/>
        </w:rPr>
        <w:t xml:space="preserve">2.3. </w:t>
      </w:r>
      <w:r>
        <w:rPr>
          <w:rFonts w:cs="Arial" w:ascii="Verdana" w:hAnsi="Verdana"/>
          <w:color w:val="000000"/>
          <w:sz w:val="20"/>
          <w:szCs w:val="20"/>
        </w:rPr>
        <w:t>Manter a oferta dos procedimentos odontológicos, prevenindo as doenças , reduzindo desigualdades em saúde e melhorando a qualidade de vida dos pacientes que necessitam de procedimentos odontológicos.</w:t>
      </w:r>
    </w:p>
    <w:p>
      <w:pPr>
        <w:pStyle w:val="ListParagraph"/>
        <w:widowControl w:val="false"/>
        <w:tabs>
          <w:tab w:val="clear" w:pos="708"/>
          <w:tab w:val="left" w:pos="-2410" w:leader="none"/>
          <w:tab w:val="left" w:pos="567" w:leader="none"/>
        </w:tabs>
        <w:spacing w:lineRule="auto" w:line="240" w:before="0" w:after="0"/>
        <w:ind w:left="0" w:hanging="0"/>
        <w:contextualSpacing/>
        <w:jc w:val="both"/>
        <w:rPr/>
      </w:pPr>
      <w:r>
        <w:rPr>
          <w:rFonts w:cs="Arial" w:ascii="Verdana" w:hAnsi="Verdana"/>
          <w:color w:val="000000"/>
          <w:sz w:val="20"/>
          <w:szCs w:val="20"/>
        </w:rPr>
        <w:t>2.4. Considerando que a</w:t>
      </w:r>
      <w:r>
        <w:rPr>
          <w:rFonts w:cs="Arial" w:ascii="Verdana" w:hAnsi="Verdana"/>
          <w:color w:val="545D7E"/>
          <w:sz w:val="20"/>
          <w:szCs w:val="20"/>
        </w:rPr>
        <w:t xml:space="preserve"> </w:t>
      </w:r>
      <w:r>
        <w:rPr>
          <w:rFonts w:cs="Arial" w:ascii="Verdana" w:hAnsi="Verdana"/>
          <w:color w:val="1C1C1C"/>
          <w:sz w:val="20"/>
          <w:szCs w:val="20"/>
        </w:rPr>
        <w:t xml:space="preserve">saúde bucal ajuda a prevenir infecções e o agravamento de doenças como diabetes, anemia e doenças autoimunes, onde torna-se imprescindível proceder com a compra dos materiais odontológicos que são necessários para que os atendimentos sejam realizados pelo profissional de saúde que atendem aos agendamentos odontológicos. </w:t>
      </w:r>
    </w:p>
    <w:p>
      <w:pPr>
        <w:pStyle w:val="ListParagraph"/>
        <w:widowControl w:val="false"/>
        <w:tabs>
          <w:tab w:val="clear" w:pos="708"/>
          <w:tab w:val="left" w:pos="-2410" w:leader="none"/>
          <w:tab w:val="left" w:pos="567" w:leader="none"/>
        </w:tabs>
        <w:spacing w:lineRule="auto" w:line="240" w:before="0" w:after="0"/>
        <w:ind w:left="0" w:hanging="0"/>
        <w:contextualSpacing/>
        <w:jc w:val="both"/>
        <w:rPr>
          <w:rFonts w:ascii="Verdana" w:hAnsi="Verdana" w:cs="Arial"/>
          <w:color w:val="000000"/>
          <w:sz w:val="20"/>
          <w:szCs w:val="20"/>
        </w:rPr>
      </w:pPr>
      <w:r>
        <w:rPr>
          <w:rFonts w:cs="Arial" w:ascii="Verdana" w:hAnsi="Verdana"/>
          <w:color w:val="000000"/>
          <w:sz w:val="20"/>
          <w:szCs w:val="20"/>
        </w:rPr>
      </w:r>
    </w:p>
    <w:p>
      <w:pPr>
        <w:pStyle w:val="ListParagraph"/>
        <w:spacing w:lineRule="auto" w:line="240" w:before="0" w:after="0"/>
        <w:ind w:left="0" w:hanging="0"/>
        <w:contextualSpacing/>
        <w:jc w:val="both"/>
        <w:rPr/>
      </w:pPr>
      <w:r>
        <w:rPr>
          <w:rFonts w:ascii="Verdana" w:hAnsi="Verdana"/>
          <w:b/>
          <w:bCs/>
          <w:sz w:val="20"/>
          <w:szCs w:val="20"/>
        </w:rPr>
        <w:t>3. DESCRIÇÃO DA SOLUÇÃO</w:t>
      </w:r>
    </w:p>
    <w:p>
      <w:pPr>
        <w:pStyle w:val="Normal"/>
        <w:spacing w:lineRule="auto" w:line="240"/>
        <w:ind w:right="143" w:hanging="0"/>
        <w:jc w:val="both"/>
        <w:rPr/>
      </w:pPr>
      <w:r>
        <w:rPr>
          <w:rFonts w:cs="Arial" w:ascii="Verdana" w:hAnsi="Verdana"/>
          <w:sz w:val="20"/>
        </w:rPr>
        <w:t>A solução a ser adotada consiste na aquisição de materiais odontológicos necessários  para darmos continuidade à oferta dos serviços ofertados para a saúde bucal dos pacientes que necessitam dos serviços através da Secretaria Municipal de Saúde.</w:t>
      </w:r>
    </w:p>
    <w:p>
      <w:pPr>
        <w:pStyle w:val="Normal"/>
        <w:spacing w:lineRule="auto" w:line="240"/>
        <w:ind w:right="143" w:hanging="0"/>
        <w:jc w:val="both"/>
        <w:rPr>
          <w:rFonts w:ascii="Verdana" w:hAnsi="Verdana" w:cs="Arial"/>
          <w:sz w:val="20"/>
        </w:rPr>
      </w:pPr>
      <w:r>
        <w:rPr>
          <w:rFonts w:cs="Arial" w:ascii="Verdana" w:hAnsi="Verdana"/>
          <w:sz w:val="20"/>
        </w:rPr>
      </w:r>
    </w:p>
    <w:p>
      <w:pPr>
        <w:pStyle w:val="Nivel1"/>
        <w:spacing w:lineRule="auto" w:line="240" w:before="0" w:after="0"/>
        <w:rPr/>
      </w:pPr>
      <w:r>
        <w:rPr>
          <w:rFonts w:ascii="Verdana" w:hAnsi="Verdana"/>
          <w:bCs/>
          <w:sz w:val="20"/>
          <w:szCs w:val="20"/>
        </w:rPr>
        <w:t>4. CLASSIFICAÇÃO DOS BENS COMUNS</w:t>
      </w:r>
    </w:p>
    <w:p>
      <w:pPr>
        <w:pStyle w:val="Normal"/>
        <w:spacing w:lineRule="auto" w:line="240"/>
        <w:jc w:val="both"/>
        <w:rPr/>
      </w:pPr>
      <w:r>
        <w:rPr>
          <w:rFonts w:cs="Arial" w:ascii="Verdana" w:hAnsi="Verdana"/>
          <w:color w:val="000000"/>
          <w:sz w:val="20"/>
        </w:rPr>
        <w:t>4.1. Trata-se de bens comuns a ser contratado mediante registro de preços.</w:t>
      </w:r>
    </w:p>
    <w:p>
      <w:pPr>
        <w:pStyle w:val="Normal"/>
        <w:spacing w:lineRule="auto" w:line="240"/>
        <w:jc w:val="both"/>
        <w:rPr>
          <w:rFonts w:ascii="Verdana" w:hAnsi="Verdana"/>
          <w:sz w:val="20"/>
        </w:rPr>
      </w:pPr>
      <w:r>
        <w:rPr>
          <w:rFonts w:ascii="Verdana" w:hAnsi="Verdana"/>
          <w:sz w:val="20"/>
        </w:rPr>
      </w:r>
    </w:p>
    <w:p>
      <w:pPr>
        <w:pStyle w:val="Normal"/>
        <w:spacing w:lineRule="auto" w:line="240"/>
        <w:jc w:val="both"/>
        <w:rPr/>
      </w:pPr>
      <w:r>
        <w:rPr>
          <w:rFonts w:cs="Arial" w:ascii="Verdana" w:hAnsi="Verdana"/>
          <w:b/>
          <w:bCs/>
          <w:color w:val="000000"/>
          <w:sz w:val="20"/>
        </w:rPr>
        <w:t>5. REQUISITOS DA CONTRATAÇÃO/AQUISIÇÃO</w:t>
      </w:r>
    </w:p>
    <w:p>
      <w:pPr>
        <w:pStyle w:val="Normal"/>
        <w:spacing w:lineRule="auto" w:line="240"/>
        <w:jc w:val="both"/>
        <w:rPr/>
      </w:pPr>
      <w:r>
        <w:rPr>
          <w:rFonts w:ascii="Verdana" w:hAnsi="Verdana"/>
          <w:sz w:val="20"/>
        </w:rPr>
        <w:t>A aquisição deverá observar os seguintes requisitos:</w:t>
      </w:r>
    </w:p>
    <w:p>
      <w:pPr>
        <w:pStyle w:val="Normal"/>
        <w:spacing w:lineRule="auto" w:line="240"/>
        <w:jc w:val="both"/>
        <w:rPr/>
      </w:pPr>
      <w:r>
        <w:rPr>
          <w:rFonts w:ascii="Verdana" w:hAnsi="Verdana"/>
          <w:sz w:val="20"/>
        </w:rPr>
        <w:t>5.1. Não haverá danos ao meio ambiente, uma vez que a aquisição não gera  problema para a Administração Pública.</w:t>
      </w:r>
    </w:p>
    <w:p>
      <w:pPr>
        <w:pStyle w:val="ListParagraph"/>
        <w:tabs>
          <w:tab w:val="clear" w:pos="708"/>
          <w:tab w:val="left" w:pos="450" w:leader="none"/>
        </w:tabs>
        <w:suppressAutoHyphens w:val="false"/>
        <w:spacing w:lineRule="auto" w:line="240"/>
        <w:ind w:left="35" w:hanging="0"/>
        <w:jc w:val="both"/>
        <w:rPr/>
      </w:pPr>
      <w:r>
        <w:rPr>
          <w:rFonts w:ascii="Verdana" w:hAnsi="Verdana"/>
          <w:sz w:val="20"/>
          <w:szCs w:val="20"/>
        </w:rPr>
        <w:t xml:space="preserve">5.2. A aquisição se dará por </w:t>
      </w:r>
      <w:r>
        <w:rPr>
          <w:rFonts w:eastAsia="Times New Roman" w:cs="Times New Roman" w:ascii="Verdana" w:hAnsi="Verdana"/>
          <w:sz w:val="20"/>
          <w:szCs w:val="20"/>
        </w:rPr>
        <w:t>registro de preços</w:t>
      </w:r>
      <w:r>
        <w:rPr>
          <w:rFonts w:ascii="Verdana" w:hAnsi="Verdana"/>
          <w:sz w:val="20"/>
          <w:szCs w:val="20"/>
        </w:rPr>
        <w:t xml:space="preserve">, </w:t>
      </w:r>
      <w:r>
        <w:rPr>
          <w:rFonts w:eastAsia="Times New Roman" w:cs="Arial" w:ascii="Verdana" w:hAnsi="Verdana"/>
          <w:sz w:val="20"/>
          <w:szCs w:val="20"/>
        </w:rPr>
        <w:t xml:space="preserve">sendo necessária a emissão de autorização de fornecimento </w:t>
      </w:r>
      <w:r>
        <w:rPr>
          <w:rFonts w:eastAsia="Times New Roman" w:cs="Arial" w:ascii="Verdana" w:hAnsi="Verdana"/>
          <w:sz w:val="20"/>
          <w:szCs w:val="20"/>
          <w:lang w:eastAsia="zh-CN"/>
        </w:rPr>
        <w:t xml:space="preserve">dos itens concedendo o prazo de 20 ( vinte)  dias para a entrega, </w:t>
      </w:r>
      <w:r>
        <w:rPr>
          <w:rFonts w:ascii="Verdana" w:hAnsi="Verdana"/>
          <w:sz w:val="20"/>
          <w:szCs w:val="20"/>
        </w:rPr>
        <w:t>por parte DA CONTRATADA sendo sagrado vencedor o fornecedor que apresentar o menor valor por item a ser adquirido.</w:t>
      </w:r>
    </w:p>
    <w:p>
      <w:pPr>
        <w:pStyle w:val="ListParagraph"/>
        <w:tabs>
          <w:tab w:val="clear" w:pos="708"/>
          <w:tab w:val="left" w:pos="450" w:leader="none"/>
        </w:tabs>
        <w:suppressAutoHyphens w:val="false"/>
        <w:spacing w:lineRule="auto" w:line="240"/>
        <w:ind w:left="35" w:hanging="0"/>
        <w:jc w:val="both"/>
        <w:rPr/>
      </w:pPr>
      <w:r>
        <w:rPr>
          <w:rFonts w:ascii="Verdana" w:hAnsi="Verdana"/>
          <w:sz w:val="20"/>
          <w:szCs w:val="20"/>
        </w:rPr>
        <w:t xml:space="preserve">5.3. A empresa detentora da ata registrará o preço por 01 (um) </w:t>
      </w:r>
      <w:r>
        <w:rPr>
          <w:rFonts w:eastAsia="Times New Roman" w:cs="Times New Roman" w:ascii="Verdana" w:hAnsi="Verdana"/>
          <w:sz w:val="20"/>
          <w:szCs w:val="20"/>
        </w:rPr>
        <w:t>ano</w:t>
      </w:r>
      <w:r>
        <w:rPr>
          <w:rFonts w:ascii="Verdana" w:hAnsi="Verdana"/>
          <w:sz w:val="20"/>
          <w:szCs w:val="20"/>
        </w:rPr>
        <w:t>, podendo ou não a secretaria requisitar a entrega dos materiais odontológicos, dependendo da demanda.</w:t>
      </w:r>
    </w:p>
    <w:p>
      <w:pPr>
        <w:pStyle w:val="Normal"/>
        <w:shd w:val="clear" w:color="auto" w:fill="FFFFFF"/>
        <w:suppressAutoHyphens w:val="false"/>
        <w:spacing w:lineRule="auto" w:line="240"/>
        <w:ind w:hanging="57"/>
        <w:jc w:val="both"/>
        <w:rPr/>
      </w:pPr>
      <w:r>
        <w:rPr>
          <w:rFonts w:eastAsia="Calibri" w:ascii="Verdana" w:hAnsi="Verdana"/>
          <w:sz w:val="20"/>
          <w:highlight w:val="white"/>
        </w:rPr>
        <w:t xml:space="preserve"> </w:t>
      </w:r>
      <w:r>
        <w:rPr>
          <w:rFonts w:eastAsia="Calibri" w:ascii="Verdana" w:hAnsi="Verdana"/>
          <w:sz w:val="20"/>
          <w:highlight w:val="white"/>
        </w:rPr>
        <w:t xml:space="preserve">5.4. A CONTRATADA deverá entregar os materiais odontológicos com qualidade de acordo com as especificações apresentadas </w:t>
      </w:r>
      <w:r>
        <w:rPr>
          <w:rFonts w:ascii="Verdana" w:hAnsi="Verdana"/>
          <w:sz w:val="20"/>
        </w:rPr>
        <w:t xml:space="preserve">na autorização de fornecimento/execução e </w:t>
      </w:r>
      <w:r>
        <w:rPr>
          <w:rFonts w:eastAsia="Calibri" w:ascii="Verdana" w:hAnsi="Verdana"/>
          <w:sz w:val="20"/>
          <w:highlight w:val="white"/>
        </w:rPr>
        <w:t>em perfeitas condições de uso.</w:t>
      </w:r>
    </w:p>
    <w:p>
      <w:pPr>
        <w:pStyle w:val="ListParagraph"/>
        <w:shd w:val="clear" w:color="auto" w:fill="FFFFFF"/>
        <w:suppressAutoHyphens w:val="false"/>
        <w:spacing w:lineRule="auto" w:line="240"/>
        <w:ind w:left="57" w:hanging="57"/>
        <w:jc w:val="both"/>
        <w:rPr/>
      </w:pPr>
      <w:r>
        <w:rPr>
          <w:rFonts w:ascii="Verdana" w:hAnsi="Verdana"/>
          <w:sz w:val="20"/>
          <w:szCs w:val="20"/>
          <w:highlight w:val="white"/>
        </w:rPr>
        <w:t xml:space="preserve">5.5. A </w:t>
      </w:r>
      <w:r>
        <w:rPr>
          <w:rFonts w:cs="Times New Roman" w:ascii="Verdana" w:hAnsi="Verdana"/>
          <w:sz w:val="20"/>
          <w:szCs w:val="20"/>
          <w:highlight w:val="white"/>
        </w:rPr>
        <w:t>aquisição</w:t>
      </w:r>
      <w:r>
        <w:rPr>
          <w:rFonts w:ascii="Verdana" w:hAnsi="Verdana"/>
          <w:sz w:val="20"/>
          <w:szCs w:val="20"/>
          <w:highlight w:val="white"/>
        </w:rPr>
        <w:t xml:space="preserve"> deverá obedecer, no que couber, ao disposto na Lei nº 14.133/2021 e suas alterações.</w:t>
      </w:r>
    </w:p>
    <w:p>
      <w:pPr>
        <w:pStyle w:val="ListParagraph"/>
        <w:tabs>
          <w:tab w:val="clear" w:pos="708"/>
          <w:tab w:val="left" w:pos="450" w:leader="none"/>
        </w:tabs>
        <w:spacing w:lineRule="auto" w:line="240"/>
        <w:ind w:left="-22" w:hanging="0"/>
        <w:jc w:val="both"/>
        <w:rPr/>
      </w:pPr>
      <w:r>
        <w:rPr>
          <w:rFonts w:ascii="Verdana" w:hAnsi="Verdana"/>
          <w:sz w:val="20"/>
          <w:szCs w:val="20"/>
        </w:rPr>
        <w:t xml:space="preserve">5.6. A </w:t>
      </w:r>
      <w:r>
        <w:rPr>
          <w:rFonts w:eastAsia="Times New Roman" w:cs="Times New Roman" w:ascii="Verdana" w:hAnsi="Verdana"/>
          <w:sz w:val="20"/>
          <w:szCs w:val="20"/>
        </w:rPr>
        <w:t>CONTRATADA</w:t>
      </w:r>
      <w:r>
        <w:rPr>
          <w:rFonts w:ascii="Verdana" w:hAnsi="Verdana"/>
          <w:sz w:val="20"/>
          <w:szCs w:val="20"/>
        </w:rPr>
        <w:t xml:space="preserve"> deverá entregar os materiais odontológicos na data estipulada na autorização de fornecimento/execução emitida pelo Departamento de Compras da Secretaria Municipal de Saúde.</w:t>
      </w:r>
    </w:p>
    <w:p>
      <w:pPr>
        <w:pStyle w:val="ListParagraph"/>
        <w:spacing w:lineRule="auto" w:line="240"/>
        <w:ind w:left="-22" w:hanging="0"/>
        <w:jc w:val="both"/>
        <w:rPr/>
      </w:pPr>
      <w:r>
        <w:rPr>
          <w:rFonts w:ascii="Verdana" w:hAnsi="Verdana"/>
          <w:sz w:val="20"/>
          <w:szCs w:val="20"/>
        </w:rPr>
        <w:t>5.7.  Não será admitida a subcontratação do objeto contratual.</w:t>
      </w:r>
    </w:p>
    <w:p>
      <w:pPr>
        <w:pStyle w:val="ListParagraph"/>
        <w:spacing w:lineRule="auto" w:line="240"/>
        <w:ind w:left="-22" w:hanging="0"/>
        <w:jc w:val="both"/>
        <w:rPr/>
      </w:pPr>
      <w:r>
        <w:rPr>
          <w:rFonts w:cs="Arial" w:ascii="Verdana" w:hAnsi="Verdana"/>
          <w:color w:val="000000"/>
          <w:sz w:val="20"/>
          <w:szCs w:val="20"/>
        </w:rPr>
        <w:t xml:space="preserve">5.8. Não haverá exigência da garantia da </w:t>
      </w:r>
      <w:r>
        <w:rPr>
          <w:rFonts w:eastAsia="Times New Roman" w:cs="Arial" w:ascii="Verdana" w:hAnsi="Verdana"/>
          <w:color w:val="000000"/>
          <w:sz w:val="20"/>
          <w:szCs w:val="20"/>
        </w:rPr>
        <w:t>aquisição</w:t>
      </w:r>
      <w:r>
        <w:rPr>
          <w:rFonts w:cs="Arial" w:ascii="Verdana" w:hAnsi="Verdana"/>
          <w:color w:val="000000"/>
          <w:sz w:val="20"/>
          <w:szCs w:val="20"/>
        </w:rPr>
        <w:t xml:space="preserve"> dos arts. 96 e seguintes da Lei nº 14.133/21.</w:t>
      </w:r>
    </w:p>
    <w:p>
      <w:pPr>
        <w:pStyle w:val="ListParagraph"/>
        <w:spacing w:lineRule="auto" w:line="240"/>
        <w:ind w:left="-22" w:hanging="0"/>
        <w:jc w:val="both"/>
        <w:rPr/>
      </w:pPr>
      <w:r>
        <w:rPr>
          <w:rFonts w:cs="Arial" w:ascii="Verdana" w:hAnsi="Verdana"/>
          <w:color w:val="000000"/>
          <w:sz w:val="20"/>
          <w:szCs w:val="20"/>
        </w:rPr>
        <w:t>5.9. Não haverá reajustamento de preços dos produtos adquiridos.</w:t>
      </w:r>
    </w:p>
    <w:p>
      <w:pPr>
        <w:pStyle w:val="ListParagraph"/>
        <w:spacing w:lineRule="auto" w:line="240"/>
        <w:ind w:left="-22" w:hanging="0"/>
        <w:jc w:val="both"/>
        <w:rPr/>
      </w:pPr>
      <w:r>
        <w:rPr>
          <w:rFonts w:cs="Arial" w:ascii="Verdana" w:hAnsi="Verdana"/>
          <w:color w:val="000000"/>
          <w:sz w:val="20"/>
          <w:szCs w:val="20"/>
        </w:rPr>
        <w:t>5.10. Não se verifica contratações correlatas no presente exercício.</w:t>
      </w:r>
    </w:p>
    <w:p>
      <w:pPr>
        <w:pStyle w:val="Normal"/>
        <w:spacing w:lineRule="auto" w:line="240"/>
        <w:jc w:val="both"/>
        <w:rPr/>
      </w:pPr>
      <w:r>
        <w:rPr>
          <w:rFonts w:cs="Arial" w:ascii="Verdana" w:hAnsi="Verdana"/>
          <w:sz w:val="20"/>
        </w:rPr>
        <w:t>5.11. Nos preços apresentados deverão estar incluídas todas as despesas com mão de obra, encargos trabalhistas, previdenciários, fiscais, comerciais, despesas e obrigações financeiras de qualquer natureza e outras despesas, diretas e indiretas, inclusive lucro, necessários à perfeita execução do contrato;</w:t>
      </w:r>
    </w:p>
    <w:p>
      <w:pPr>
        <w:pStyle w:val="Normal"/>
        <w:spacing w:lineRule="auto" w:line="240"/>
        <w:jc w:val="both"/>
        <w:rPr/>
      </w:pPr>
      <w:r>
        <w:rPr>
          <w:rFonts w:cs="Arial" w:ascii="Verdana" w:hAnsi="Verdana"/>
          <w:color w:val="000000"/>
          <w:sz w:val="20"/>
          <w:u w:val="single"/>
        </w:rPr>
        <w:t>5.12</w:t>
      </w:r>
      <w:r>
        <w:rPr>
          <w:rFonts w:cs="Arial" w:ascii="Verdana" w:hAnsi="Verdana"/>
          <w:b/>
          <w:color w:val="000000"/>
          <w:sz w:val="20"/>
          <w:u w:val="single"/>
        </w:rPr>
        <w:t>.</w:t>
      </w:r>
      <w:r>
        <w:rPr>
          <w:rFonts w:cs="Arial" w:ascii="Verdana" w:hAnsi="Verdana"/>
          <w:color w:val="000000"/>
          <w:sz w:val="20"/>
          <w:u w:val="single"/>
        </w:rPr>
        <w:t xml:space="preserve"> Os insumos necessários às embalagens, carga e descarga serão responsabilidade da contratada</w:t>
      </w:r>
      <w:r>
        <w:rPr>
          <w:rFonts w:cs="Arial" w:ascii="Verdana" w:hAnsi="Verdana"/>
          <w:b w:val="false"/>
          <w:bCs w:val="false"/>
          <w:color w:val="000000"/>
          <w:sz w:val="20"/>
          <w:u w:val="single"/>
        </w:rPr>
        <w:t>.</w:t>
      </w:r>
    </w:p>
    <w:p>
      <w:pPr>
        <w:pStyle w:val="Normal"/>
        <w:spacing w:lineRule="auto" w:line="240"/>
        <w:jc w:val="both"/>
        <w:rPr/>
      </w:pPr>
      <w:r>
        <w:rPr/>
      </w:r>
    </w:p>
    <w:p>
      <w:pPr>
        <w:pStyle w:val="Nivel1"/>
        <w:suppressAutoHyphens w:val="true"/>
        <w:spacing w:lineRule="auto" w:line="240" w:before="0" w:after="0"/>
        <w:rPr/>
      </w:pPr>
      <w:r>
        <w:rPr>
          <w:rFonts w:ascii="Verdana" w:hAnsi="Verdana"/>
          <w:sz w:val="20"/>
          <w:szCs w:val="20"/>
        </w:rPr>
        <w:t>6. ENTREGA E CRITÉRIOS DE ACEITAÇÃO DO OBJETO.</w:t>
      </w:r>
    </w:p>
    <w:p>
      <w:pPr>
        <w:pStyle w:val="Normal"/>
        <w:spacing w:lineRule="auto" w:line="240"/>
        <w:jc w:val="both"/>
        <w:rPr/>
      </w:pPr>
      <w:r>
        <w:rPr>
          <w:rFonts w:cs="Arial" w:ascii="Verdana" w:hAnsi="Verdana"/>
          <w:b/>
          <w:sz w:val="20"/>
        </w:rPr>
        <w:t>6.1</w:t>
      </w:r>
      <w:r>
        <w:rPr>
          <w:rFonts w:cs="Arial" w:ascii="Verdana" w:hAnsi="Verdana"/>
          <w:sz w:val="20"/>
        </w:rPr>
        <w:t xml:space="preserve"> Os materiais odontológicos deverão ser entregues no Almoxarifado da Atenção Básica com localização na sede do Município, de segunda à quinta feira das 07h às 16h, e na sexta feira de 7:00hs da manha até as 13 horas da tarde,  observando os dias de funcionamento, juntamente com a Nota Fiscal, pelo prazo de 20 </w:t>
      </w:r>
      <w:r>
        <w:rPr>
          <w:rFonts w:cs="Arial" w:ascii="Verdana" w:hAnsi="Verdana"/>
          <w:b/>
          <w:bCs/>
          <w:sz w:val="20"/>
        </w:rPr>
        <w:t xml:space="preserve"> dias </w:t>
      </w:r>
      <w:r>
        <w:rPr>
          <w:rFonts w:cs="Arial" w:ascii="Verdana" w:hAnsi="Verdana"/>
          <w:sz w:val="20"/>
        </w:rPr>
        <w:t>a contar do recebimento da Autorização de Fornecimento, emitida pelo Departamento de Compras da Secretaria Municipal de Saúde.</w:t>
      </w:r>
    </w:p>
    <w:p>
      <w:pPr>
        <w:pStyle w:val="Normal"/>
        <w:spacing w:lineRule="auto" w:line="240"/>
        <w:jc w:val="both"/>
        <w:rPr/>
      </w:pPr>
      <w:r>
        <w:rPr>
          <w:rFonts w:cs="Arial" w:ascii="Verdana" w:hAnsi="Verdana"/>
          <w:b/>
          <w:sz w:val="20"/>
        </w:rPr>
        <w:t>6.2</w:t>
      </w:r>
      <w:r>
        <w:rPr>
          <w:rFonts w:cs="Arial" w:ascii="Verdana" w:hAnsi="Verdana"/>
          <w:sz w:val="20"/>
        </w:rPr>
        <w:t xml:space="preserve"> A entrega deverá ocorrer sem qualquer ônus adicional, bem como a descarga e todas as demais despesas provenientes da mesma, previamente agendada com a Secretaria Municipal de Saúde.</w:t>
      </w:r>
    </w:p>
    <w:p>
      <w:pPr>
        <w:pStyle w:val="Normal"/>
        <w:spacing w:lineRule="auto" w:line="240"/>
        <w:jc w:val="both"/>
        <w:rPr/>
      </w:pPr>
      <w:r>
        <w:rPr>
          <w:rFonts w:cs="Arial" w:ascii="Verdana" w:hAnsi="Verdana"/>
          <w:b/>
          <w:sz w:val="20"/>
        </w:rPr>
        <w:t>6.3</w:t>
      </w:r>
      <w:r>
        <w:rPr>
          <w:rFonts w:cs="Arial" w:ascii="Verdana" w:hAnsi="Verdana"/>
          <w:sz w:val="20"/>
        </w:rPr>
        <w:t xml:space="preserve"> A CONTRATADA garantirá a qualidade dos materiais odontológicos  obrigando-se a repor aquele que apresentar defeito ou for entregue em desacordo com o apresentado na proposta; </w:t>
      </w:r>
    </w:p>
    <w:p>
      <w:pPr>
        <w:pStyle w:val="Normal"/>
        <w:spacing w:lineRule="auto" w:line="240"/>
        <w:jc w:val="both"/>
        <w:rPr/>
      </w:pPr>
      <w:r>
        <w:rPr>
          <w:rFonts w:cs="Arial" w:ascii="Verdana" w:hAnsi="Verdana"/>
          <w:b/>
          <w:sz w:val="20"/>
        </w:rPr>
        <w:t>6.4</w:t>
      </w:r>
      <w:r>
        <w:rPr>
          <w:rFonts w:cs="Arial" w:ascii="Verdana" w:hAnsi="Verdana"/>
          <w:sz w:val="20"/>
        </w:rPr>
        <w:t xml:space="preserve"> O recebimento </w:t>
      </w:r>
      <w:r>
        <w:rPr>
          <w:rFonts w:cs="Arial" w:ascii="Verdana" w:hAnsi="Verdana"/>
          <w:b/>
          <w:sz w:val="20"/>
        </w:rPr>
        <w:t>provisório</w:t>
      </w:r>
      <w:r>
        <w:rPr>
          <w:rFonts w:cs="Arial" w:ascii="Verdana" w:hAnsi="Verdana"/>
          <w:sz w:val="20"/>
        </w:rPr>
        <w:t xml:space="preserve"> dos materiais odontológicos entregue dar-se-á pela conferência com a descrição constante da ordem de fornecimento;</w:t>
      </w:r>
    </w:p>
    <w:p>
      <w:pPr>
        <w:pStyle w:val="Normal"/>
        <w:spacing w:lineRule="auto" w:line="240"/>
        <w:jc w:val="both"/>
        <w:rPr/>
      </w:pPr>
      <w:r>
        <w:rPr>
          <w:rFonts w:cs="Arial" w:ascii="Verdana" w:hAnsi="Verdana"/>
          <w:b/>
          <w:sz w:val="20"/>
        </w:rPr>
        <w:t>6.5</w:t>
      </w:r>
      <w:r>
        <w:rPr>
          <w:rFonts w:cs="Arial" w:ascii="Verdana" w:hAnsi="Verdana"/>
          <w:sz w:val="20"/>
        </w:rPr>
        <w:t xml:space="preserve"> O recebimento </w:t>
      </w:r>
      <w:r>
        <w:rPr>
          <w:rFonts w:cs="Arial" w:ascii="Verdana" w:hAnsi="Verdana"/>
          <w:b/>
          <w:sz w:val="20"/>
        </w:rPr>
        <w:t>definitivo</w:t>
      </w:r>
      <w:r>
        <w:rPr>
          <w:rFonts w:cs="Arial" w:ascii="Verdana" w:hAnsi="Verdana"/>
          <w:sz w:val="20"/>
        </w:rPr>
        <w:t xml:space="preserve"> ocorrerá com a verificação integral das características do produto fornecido pela CONTRATADA;</w:t>
      </w:r>
    </w:p>
    <w:p>
      <w:pPr>
        <w:pStyle w:val="Normal"/>
        <w:spacing w:lineRule="auto" w:line="240"/>
        <w:jc w:val="both"/>
        <w:rPr/>
      </w:pPr>
      <w:r>
        <w:rPr>
          <w:rFonts w:cs="Arial" w:ascii="Verdana" w:hAnsi="Verdana"/>
          <w:b/>
          <w:sz w:val="20"/>
        </w:rPr>
        <w:t>6.6</w:t>
      </w:r>
      <w:r>
        <w:rPr>
          <w:rFonts w:cs="Arial" w:ascii="Verdana" w:hAnsi="Verdana"/>
          <w:sz w:val="20"/>
        </w:rPr>
        <w:t xml:space="preserve"> O recebimento definitivo não isenta a CONTRATADA de responsabilidades futuras quanto à qualidade dos fornecimentos e serviços prestados.</w:t>
      </w:r>
    </w:p>
    <w:p>
      <w:pPr>
        <w:pStyle w:val="Normal"/>
        <w:spacing w:lineRule="auto" w:line="240"/>
        <w:jc w:val="both"/>
        <w:rPr/>
      </w:pPr>
      <w:r>
        <w:rPr>
          <w:rFonts w:cs="Arial" w:ascii="Verdana" w:hAnsi="Verdana"/>
          <w:b/>
          <w:sz w:val="20"/>
        </w:rPr>
        <w:t>6.7</w:t>
      </w:r>
      <w:r>
        <w:rPr>
          <w:rFonts w:cs="Arial" w:ascii="Verdana" w:hAnsi="Verdana"/>
          <w:sz w:val="20"/>
        </w:rPr>
        <w:t xml:space="preserve"> O recebimento provisório dos materiais odontológicos não implica aceitação dos mesmos;</w:t>
      </w:r>
    </w:p>
    <w:p>
      <w:pPr>
        <w:pStyle w:val="Normal"/>
        <w:spacing w:lineRule="auto" w:line="240"/>
        <w:jc w:val="both"/>
        <w:rPr/>
      </w:pPr>
      <w:r>
        <w:rPr>
          <w:rFonts w:cs="Arial" w:ascii="Verdana" w:hAnsi="Verdana"/>
          <w:b/>
          <w:sz w:val="20"/>
        </w:rPr>
        <w:t>6.8</w:t>
      </w:r>
      <w:r>
        <w:rPr>
          <w:rFonts w:cs="Arial" w:ascii="Verdana" w:hAnsi="Verdana"/>
          <w:sz w:val="20"/>
        </w:rPr>
        <w:t xml:space="preserve"> Os materiais odontológicos que não estiverem de acordo com as especificações exigidas, apresentem vicio de qualidade ou impropriedade para o uso, serão recusados e devolvidos parcial ou totalmente, conforme caso, ficando a CONTRATADA, obrigada a substitui-los no prazo de 5 (cinco) dias úteis, contadas do recebimento da notificação escrita, sob pena de incorrer em atraso quanto ao prazo de execução;</w:t>
      </w:r>
    </w:p>
    <w:p>
      <w:pPr>
        <w:pStyle w:val="Normal"/>
        <w:spacing w:lineRule="auto" w:line="240"/>
        <w:jc w:val="both"/>
        <w:rPr/>
      </w:pPr>
      <w:r>
        <w:rPr>
          <w:rFonts w:cs="Arial" w:ascii="Verdana" w:hAnsi="Verdana"/>
          <w:b/>
          <w:color w:val="000000"/>
          <w:sz w:val="20"/>
        </w:rPr>
        <w:t>6.9</w:t>
      </w:r>
      <w:r>
        <w:rPr>
          <w:rFonts w:cs="Arial" w:ascii="Verdana" w:hAnsi="Verdana"/>
          <w:color w:val="000000"/>
          <w:sz w:val="20"/>
        </w:rPr>
        <w:t xml:space="preserve"> Havendo erro na Nota Fiscal ou outra circunstância impeditiva, o recebimento definitivo será suspenso, até que a empresa tome as medidas saneadoras necessárias;</w:t>
      </w:r>
    </w:p>
    <w:p>
      <w:pPr>
        <w:pStyle w:val="Normal"/>
        <w:spacing w:lineRule="auto" w:line="240"/>
        <w:jc w:val="both"/>
        <w:rPr/>
      </w:pPr>
      <w:r>
        <w:rPr>
          <w:rFonts w:cs="Arial" w:ascii="Verdana" w:hAnsi="Verdana"/>
          <w:b/>
          <w:sz w:val="20"/>
        </w:rPr>
        <w:t>CONTATO</w:t>
      </w:r>
    </w:p>
    <w:p>
      <w:pPr>
        <w:pStyle w:val="Normal"/>
        <w:spacing w:lineRule="auto" w:line="240"/>
        <w:jc w:val="both"/>
        <w:rPr/>
      </w:pPr>
      <w:r>
        <w:rPr>
          <w:rFonts w:cs="Arial" w:ascii="Verdana" w:hAnsi="Verdana"/>
          <w:b/>
          <w:sz w:val="20"/>
        </w:rPr>
        <w:t xml:space="preserve">Tel: </w:t>
      </w:r>
      <w:r>
        <w:rPr>
          <w:rFonts w:cs="Arial" w:ascii="Verdana" w:hAnsi="Verdana"/>
          <w:sz w:val="20"/>
        </w:rPr>
        <w:t>27 9 9740 8895</w:t>
      </w:r>
    </w:p>
    <w:p>
      <w:pPr>
        <w:pStyle w:val="Normal"/>
        <w:spacing w:lineRule="auto" w:line="240"/>
        <w:jc w:val="both"/>
        <w:rPr/>
      </w:pPr>
      <w:r>
        <w:rPr>
          <w:rFonts w:cs="Arial" w:ascii="Verdana" w:hAnsi="Verdana"/>
          <w:b/>
          <w:sz w:val="20"/>
        </w:rPr>
        <w:t xml:space="preserve">Email: </w:t>
      </w:r>
      <w:r>
        <w:rPr>
          <w:rFonts w:cs="Arial" w:ascii="Verdana" w:hAnsi="Verdana"/>
          <w:sz w:val="20"/>
        </w:rPr>
        <w:t>setorcomprassgp@gmail.com</w:t>
      </w:r>
    </w:p>
    <w:p>
      <w:pPr>
        <w:pStyle w:val="Normal"/>
        <w:spacing w:lineRule="auto" w:line="240"/>
        <w:jc w:val="both"/>
        <w:rPr/>
      </w:pPr>
      <w:r>
        <w:rPr>
          <w:rFonts w:cs="Arial" w:ascii="Verdana" w:hAnsi="Verdana"/>
          <w:b/>
          <w:color w:val="000000"/>
          <w:sz w:val="20"/>
        </w:rPr>
        <w:t xml:space="preserve">Responsável: </w:t>
      </w:r>
      <w:r>
        <w:rPr>
          <w:rFonts w:cs="Arial" w:ascii="Verdana" w:hAnsi="Verdana"/>
          <w:color w:val="000000"/>
          <w:sz w:val="20"/>
        </w:rPr>
        <w:t>Secretaria Municipal de Saúde</w:t>
      </w:r>
    </w:p>
    <w:p>
      <w:pPr>
        <w:pStyle w:val="Normal"/>
        <w:spacing w:lineRule="auto" w:line="240"/>
        <w:jc w:val="both"/>
        <w:rPr>
          <w:rFonts w:ascii="Verdana" w:hAnsi="Verdana" w:cs="Arial"/>
          <w:b/>
          <w:sz w:val="20"/>
          <w:u w:val="single"/>
        </w:rPr>
      </w:pPr>
      <w:r>
        <w:rPr>
          <w:rFonts w:cs="Arial" w:ascii="Verdana" w:hAnsi="Verdana"/>
          <w:b/>
          <w:sz w:val="20"/>
          <w:u w:val="single"/>
        </w:rPr>
      </w:r>
    </w:p>
    <w:p>
      <w:pPr>
        <w:pStyle w:val="Normal"/>
        <w:spacing w:lineRule="auto" w:line="240"/>
        <w:jc w:val="both"/>
        <w:rPr/>
      </w:pPr>
      <w:r>
        <w:rPr>
          <w:rFonts w:cs="Arial" w:ascii="Verdana" w:hAnsi="Verdana"/>
          <w:b/>
          <w:bCs/>
          <w:color w:val="000000"/>
          <w:sz w:val="20"/>
        </w:rPr>
        <w:t>7. OBRIGAÇÕES DA CONTRATANTE</w:t>
      </w:r>
    </w:p>
    <w:p>
      <w:pPr>
        <w:pStyle w:val="Normal"/>
        <w:spacing w:lineRule="auto" w:line="240"/>
        <w:jc w:val="both"/>
        <w:rPr/>
      </w:pPr>
      <w:r>
        <w:rPr>
          <w:rFonts w:cs="Arial" w:ascii="Verdana" w:hAnsi="Verdana"/>
          <w:color w:val="000000"/>
          <w:sz w:val="20"/>
        </w:rPr>
        <w:t>7.1. Receber os materiais odontológicos no prazo e condições estabelecidas neste Termo de Referência e seus anexos.</w:t>
      </w:r>
    </w:p>
    <w:p>
      <w:pPr>
        <w:pStyle w:val="Normal"/>
        <w:spacing w:lineRule="auto" w:line="240" w:before="57" w:after="57"/>
        <w:jc w:val="both"/>
        <w:rPr/>
      </w:pPr>
      <w:r>
        <w:rPr>
          <w:rFonts w:cs="Arial" w:ascii="Verdana" w:hAnsi="Verdana"/>
          <w:color w:val="000000"/>
          <w:sz w:val="20"/>
        </w:rPr>
        <w:t xml:space="preserve">7.2. </w:t>
      </w:r>
      <w:bookmarkStart w:id="5" w:name="page68R_mcid7"/>
      <w:r>
        <w:rPr>
          <w:rFonts w:cs="Arial" w:ascii="Verdana" w:hAnsi="Verdana"/>
          <w:color w:val="000000"/>
          <w:sz w:val="20"/>
        </w:rPr>
        <w:t>Verificar minuciosamente, no prazo fixado, a conformidade dos bens recebidos provisoriamente com as especificações constantes neste Termo de Referência e da proposta, para fins de aceitação e recebimento definitivo.</w:t>
      </w:r>
    </w:p>
    <w:p>
      <w:pPr>
        <w:pStyle w:val="Normal"/>
        <w:spacing w:lineRule="auto" w:line="240" w:before="57" w:after="57"/>
        <w:jc w:val="both"/>
        <w:rPr/>
      </w:pPr>
      <w:r>
        <w:rPr>
          <w:rFonts w:cs="Arial" w:ascii="Verdana" w:hAnsi="Verdana"/>
          <w:color w:val="000000"/>
          <w:sz w:val="20"/>
        </w:rPr>
        <w:t>7.3. Comunicar à Contratada, por escrito, sobre imperfeições, falhas ou irregularidades verificadas no objeto fornecido, para que seja substituído, reparado ou corrigido.</w:t>
      </w:r>
    </w:p>
    <w:p>
      <w:pPr>
        <w:pStyle w:val="Normal"/>
        <w:spacing w:lineRule="auto" w:line="240" w:before="57" w:after="57"/>
        <w:jc w:val="both"/>
        <w:rPr/>
      </w:pPr>
      <w:r>
        <w:rPr>
          <w:rFonts w:cs="Arial" w:ascii="Verdana" w:hAnsi="Verdana"/>
          <w:color w:val="000000"/>
          <w:sz w:val="20"/>
        </w:rPr>
        <w:t>7.4. Acompanhar e fiscalizar o cumprimento das obrigações da Contratada, através do setor responsável.</w:t>
      </w:r>
    </w:p>
    <w:p>
      <w:pPr>
        <w:pStyle w:val="Normal"/>
        <w:spacing w:lineRule="auto" w:line="240" w:before="57" w:after="57"/>
        <w:jc w:val="both"/>
        <w:rPr/>
      </w:pPr>
      <w:r>
        <w:rPr>
          <w:rFonts w:cs="Arial" w:ascii="Verdana" w:hAnsi="Verdana"/>
          <w:color w:val="000000"/>
          <w:sz w:val="20"/>
        </w:rPr>
        <w:t>7.5. Efetuar o pagamento à Contratada no valor correspondente ao fornecimento dos materiais odontológicos no prazo e forma estabelecidos neste TR e seus anexos.</w:t>
      </w:r>
    </w:p>
    <w:p>
      <w:pPr>
        <w:pStyle w:val="Normal"/>
        <w:spacing w:lineRule="auto" w:line="240" w:before="57" w:after="57"/>
        <w:jc w:val="both"/>
        <w:rPr/>
      </w:pPr>
      <w:r>
        <w:rPr>
          <w:rFonts w:cs="Arial" w:ascii="Verdana" w:hAnsi="Verdana"/>
          <w:color w:val="000000"/>
          <w:sz w:val="20"/>
        </w:rPr>
        <w:t>7.6. A Administração não responderá por quaisquer compromissos assumidos pela Contratada com terceiros, ainda que vinculados à execução da presente Ata de Registro de Preços, bem como por qualquer dano causado a terceiros em decorrência de ato da Contratada, de seus empregados, prepostos ou subordinados.</w:t>
      </w:r>
    </w:p>
    <w:p>
      <w:pPr>
        <w:pStyle w:val="Normal"/>
        <w:spacing w:lineRule="auto" w:line="240"/>
        <w:jc w:val="both"/>
        <w:rPr>
          <w:rFonts w:ascii="Verdana" w:hAnsi="Verdana" w:cs="Arial"/>
          <w:b/>
          <w:sz w:val="20"/>
          <w:u w:val="single"/>
        </w:rPr>
      </w:pPr>
      <w:r>
        <w:rPr>
          <w:rFonts w:cs="Arial" w:ascii="Verdana" w:hAnsi="Verdana"/>
          <w:b/>
          <w:sz w:val="20"/>
          <w:u w:val="single"/>
        </w:rPr>
      </w:r>
    </w:p>
    <w:p>
      <w:pPr>
        <w:pStyle w:val="Normal"/>
        <w:spacing w:lineRule="auto" w:line="240"/>
        <w:jc w:val="both"/>
        <w:rPr/>
      </w:pPr>
      <w:r>
        <w:rPr>
          <w:rFonts w:cs="Arial" w:ascii="Verdana" w:hAnsi="Verdana"/>
          <w:b/>
          <w:bCs/>
          <w:color w:val="000000"/>
          <w:sz w:val="20"/>
        </w:rPr>
        <w:t>8. OBRIGAÇÕES DA CONTRATADA</w:t>
      </w:r>
    </w:p>
    <w:p>
      <w:pPr>
        <w:pStyle w:val="Normal"/>
        <w:spacing w:lineRule="auto" w:line="240"/>
        <w:jc w:val="both"/>
        <w:rPr/>
      </w:pPr>
      <w:r>
        <w:rPr>
          <w:rFonts w:cs="Arial" w:ascii="Verdana" w:hAnsi="Verdana"/>
          <w:color w:val="000000"/>
          <w:sz w:val="20"/>
        </w:rPr>
        <w:t>8.1. A Contratada deve cumprir todas as obrigações constantes neste TR, seus anexos e sua proposta, assumindo como exclusivamente seus os riscos e as despesas decorrentes da boa e perfeita execução do objeto.</w:t>
      </w:r>
      <w:bookmarkStart w:id="6" w:name="page68R_mcid171"/>
    </w:p>
    <w:p>
      <w:pPr>
        <w:pStyle w:val="Normal"/>
        <w:spacing w:lineRule="auto" w:line="240"/>
        <w:jc w:val="both"/>
        <w:rPr/>
      </w:pPr>
      <w:r>
        <w:rPr>
          <w:rFonts w:cs="Arial" w:ascii="Verdana" w:hAnsi="Verdana"/>
          <w:color w:val="000000"/>
          <w:sz w:val="20"/>
        </w:rPr>
        <w:t>8.2. Efetuar a entrega dos materiais odontológicos  em perfeitas condições, conforme especificações, prazo e local constantes no Termo de Referência e seus anexos, acompanhado da respectiva nota fiscal, na qual constarão as indicações referentes a: marca, fabricante, modelo, procedência e prazo de validade.</w:t>
      </w:r>
    </w:p>
    <w:p>
      <w:pPr>
        <w:pStyle w:val="Normal"/>
        <w:spacing w:lineRule="auto" w:line="240"/>
        <w:jc w:val="both"/>
        <w:rPr/>
      </w:pPr>
      <w:r>
        <w:rPr>
          <w:rFonts w:cs="Arial" w:ascii="Verdana" w:hAnsi="Verdana"/>
          <w:color w:val="000000"/>
          <w:sz w:val="20"/>
        </w:rPr>
        <w:t>8.3. Responsabilizar-se pelos vícios e danos decorrentes do objeto, de acordo com os artigos 12, 13 e 17 a 27, do Código de Defesa do Consumidor (Lei nº 8.078, de 1990).</w:t>
      </w:r>
    </w:p>
    <w:p>
      <w:pPr>
        <w:pStyle w:val="Normal"/>
        <w:spacing w:lineRule="auto" w:line="240"/>
        <w:jc w:val="both"/>
        <w:rPr/>
      </w:pPr>
      <w:r>
        <w:rPr>
          <w:rFonts w:cs="Arial" w:ascii="Verdana" w:hAnsi="Verdana"/>
          <w:color w:val="000000"/>
          <w:sz w:val="20"/>
        </w:rPr>
        <w:t>8.4. Substituir, reparar ou corrigir, às suas expensas, no prazo fixado neste Termo de Referência, o objeto com avarias ou defeitos.</w:t>
      </w:r>
    </w:p>
    <w:p>
      <w:pPr>
        <w:pStyle w:val="Normal"/>
        <w:spacing w:lineRule="auto" w:line="240"/>
        <w:jc w:val="both"/>
        <w:rPr/>
      </w:pPr>
      <w:r>
        <w:rPr>
          <w:rFonts w:cs="Arial" w:ascii="Verdana" w:hAnsi="Verdana"/>
          <w:color w:val="000000"/>
          <w:sz w:val="20"/>
        </w:rPr>
        <w:t>8.5. Comunicar à Contratante, no prazo máximo de 72 (setenta e duas) horas que antecede a data da entrega, os motivos que impossibilitem o cumprimento do prazo previsto, com a devida comprovação.</w:t>
      </w:r>
    </w:p>
    <w:p>
      <w:pPr>
        <w:pStyle w:val="Normal"/>
        <w:spacing w:lineRule="auto" w:line="240"/>
        <w:jc w:val="both"/>
        <w:rPr/>
      </w:pPr>
      <w:r>
        <w:rPr>
          <w:rFonts w:cs="Arial" w:ascii="Verdana" w:hAnsi="Verdana"/>
          <w:color w:val="000000"/>
          <w:sz w:val="20"/>
        </w:rPr>
        <w:t>8.6. Manter, durante toda a execução da ata de registro de preços, em compatibilidade com as obrigações assumidas, todas as condições de habilitação e qualificação exigidas na licitação.</w:t>
      </w:r>
    </w:p>
    <w:p>
      <w:pPr>
        <w:pStyle w:val="Normal"/>
        <w:tabs>
          <w:tab w:val="clear" w:pos="708"/>
          <w:tab w:val="left" w:pos="0" w:leader="none"/>
        </w:tabs>
        <w:spacing w:lineRule="auto" w:line="240"/>
        <w:jc w:val="both"/>
        <w:rPr/>
      </w:pPr>
      <w:r>
        <w:rPr>
          <w:rFonts w:cs="Arial" w:ascii="Verdana" w:hAnsi="Verdana"/>
          <w:color w:val="000000"/>
          <w:sz w:val="20"/>
        </w:rPr>
        <w:t>8.7. Indicar preposto para representá-la durante a execução Da ata de registro de preços.</w:t>
      </w:r>
    </w:p>
    <w:p>
      <w:pPr>
        <w:pStyle w:val="Normal"/>
        <w:tabs>
          <w:tab w:val="clear" w:pos="708"/>
          <w:tab w:val="left" w:pos="0" w:leader="none"/>
        </w:tabs>
        <w:spacing w:lineRule="auto" w:line="240"/>
        <w:jc w:val="both"/>
        <w:rPr/>
      </w:pPr>
      <w:r>
        <w:rPr>
          <w:rFonts w:cs="Arial" w:ascii="Verdana" w:hAnsi="Verdana"/>
          <w:color w:val="000000"/>
          <w:sz w:val="20"/>
        </w:rPr>
        <w:t>8.8. A contratada será responsável pela observância das leis, decretos, regulamentos, portarias e normas federais, estaduais e municipais direta e indiretamente aplicáveis ao objeto do contrato.</w:t>
      </w:r>
    </w:p>
    <w:p>
      <w:pPr>
        <w:pStyle w:val="Normal"/>
        <w:tabs>
          <w:tab w:val="clear" w:pos="708"/>
          <w:tab w:val="left" w:pos="0" w:leader="none"/>
        </w:tabs>
        <w:spacing w:lineRule="auto" w:line="240"/>
        <w:jc w:val="both"/>
        <w:rPr/>
      </w:pPr>
      <w:r>
        <w:rPr>
          <w:rFonts w:cs="Arial" w:ascii="Verdana" w:hAnsi="Verdana"/>
          <w:color w:val="000000"/>
          <w:sz w:val="20"/>
        </w:rPr>
        <w:t>8.9.Durante a execução da ata de registro de preços, a contratada deverá:</w:t>
      </w:r>
      <w:r>
        <w:rPr>
          <w:rFonts w:ascii="Verdana" w:hAnsi="Verdana"/>
          <w:sz w:val="20"/>
        </w:rPr>
        <w:br/>
      </w:r>
      <w:r>
        <w:rPr>
          <w:rFonts w:cs="Arial" w:ascii="Verdana" w:hAnsi="Verdana"/>
          <w:color w:val="000000"/>
          <w:sz w:val="20"/>
        </w:rPr>
        <w:t>8.9.1. Atender prontamente às solicitações da secretaria no fornecimento dos materiais odontológicos nas quantidades e especificações deste termo de referência.</w:t>
      </w:r>
    </w:p>
    <w:p>
      <w:pPr>
        <w:pStyle w:val="Normal"/>
        <w:tabs>
          <w:tab w:val="clear" w:pos="708"/>
          <w:tab w:val="left" w:pos="0" w:leader="none"/>
        </w:tabs>
        <w:spacing w:lineRule="auto" w:line="240"/>
        <w:jc w:val="both"/>
        <w:rPr/>
      </w:pPr>
      <w:r>
        <w:rPr>
          <w:rFonts w:cs="Arial" w:ascii="Verdana" w:hAnsi="Verdana"/>
          <w:color w:val="000000"/>
          <w:sz w:val="20"/>
        </w:rPr>
        <w:t>8.9.2. Entregar os materiais odontológicos acondicionados adequadamente, em invólucro lacrado, de forma a permitir completa segurança durante o transporte, acompanhado de nota fiscal, discriminado o quantitativo do produto, de acordo com as especificações técnicas.</w:t>
      </w:r>
    </w:p>
    <w:p>
      <w:pPr>
        <w:pStyle w:val="Normal"/>
        <w:tabs>
          <w:tab w:val="clear" w:pos="708"/>
          <w:tab w:val="left" w:pos="0" w:leader="none"/>
        </w:tabs>
        <w:spacing w:lineRule="auto" w:line="240"/>
        <w:jc w:val="both"/>
        <w:rPr/>
      </w:pPr>
      <w:r>
        <w:rPr>
          <w:rFonts w:cs="Arial" w:ascii="Verdana" w:hAnsi="Verdana"/>
          <w:color w:val="000000"/>
          <w:sz w:val="20"/>
        </w:rPr>
        <w:t>8.9.3. A nota fiscal deverá ser acompanhada pelas Certidões de Regularidades Fiscais.</w:t>
      </w:r>
      <w:r>
        <w:rPr>
          <w:rFonts w:ascii="Verdana" w:hAnsi="Verdana"/>
          <w:sz w:val="20"/>
        </w:rPr>
        <w:br/>
      </w:r>
      <w:r>
        <w:rPr>
          <w:rFonts w:cs="Arial" w:ascii="Verdana" w:hAnsi="Verdana"/>
          <w:color w:val="000000"/>
          <w:sz w:val="20"/>
        </w:rPr>
        <w:t xml:space="preserve">8.9.4. </w:t>
      </w:r>
      <w:bookmarkStart w:id="7" w:name="_GoBack1111"/>
      <w:r>
        <w:rPr>
          <w:rFonts w:cs="Arial" w:ascii="Verdana" w:hAnsi="Verdana"/>
          <w:color w:val="000000"/>
          <w:sz w:val="20"/>
        </w:rPr>
        <w:t>Substituir quaisquer objeto que não esteja dentro do padrão de qualidade, em bom estado de conservação, que apresente defeito ou não esteja em conformidade com as especificações da proposta apresentada.</w:t>
      </w:r>
    </w:p>
    <w:p>
      <w:pPr>
        <w:pStyle w:val="Normal"/>
        <w:tabs>
          <w:tab w:val="clear" w:pos="708"/>
          <w:tab w:val="left" w:pos="0" w:leader="none"/>
        </w:tabs>
        <w:spacing w:lineRule="auto" w:line="240"/>
        <w:jc w:val="both"/>
        <w:rPr/>
      </w:pPr>
      <w:r>
        <w:rPr>
          <w:rFonts w:cs="Arial" w:ascii="Verdana" w:hAnsi="Verdana"/>
          <w:color w:val="000000"/>
          <w:sz w:val="20"/>
        </w:rPr>
        <w:t>8.9.5. A contratada deverá apresentar o  REGISTRO NA ANVISA dos produtos que requer essa obrigatoriedade no ato da entrega dos materiais odontológicos.</w:t>
      </w:r>
    </w:p>
    <w:p>
      <w:pPr>
        <w:pStyle w:val="Normal"/>
        <w:tabs>
          <w:tab w:val="clear" w:pos="708"/>
          <w:tab w:val="left" w:pos="0" w:leader="none"/>
        </w:tabs>
        <w:spacing w:lineRule="auto" w:line="240"/>
        <w:jc w:val="both"/>
        <w:rPr>
          <w:rFonts w:ascii="Verdana" w:hAnsi="Verdana" w:cs="Arial"/>
          <w:sz w:val="20"/>
        </w:rPr>
      </w:pPr>
      <w:r>
        <w:rPr>
          <w:rFonts w:cs="Arial" w:ascii="Verdana" w:hAnsi="Verdana"/>
          <w:sz w:val="20"/>
        </w:rPr>
      </w:r>
    </w:p>
    <w:p>
      <w:pPr>
        <w:pStyle w:val="Normal"/>
        <w:spacing w:lineRule="auto" w:line="240"/>
        <w:jc w:val="both"/>
        <w:rPr/>
      </w:pPr>
      <w:r>
        <w:rPr>
          <w:rFonts w:cs="Arial" w:ascii="Verdana" w:hAnsi="Verdana"/>
          <w:b/>
          <w:bCs/>
          <w:color w:val="000000"/>
          <w:sz w:val="20"/>
        </w:rPr>
        <w:t>9. DO CONTROLE E FISCALIZAÇÃO DA EXECUÇÃO</w:t>
      </w:r>
    </w:p>
    <w:p>
      <w:pPr>
        <w:pStyle w:val="Normal"/>
        <w:spacing w:lineRule="auto" w:line="240"/>
        <w:jc w:val="both"/>
        <w:rPr/>
      </w:pPr>
      <w:r>
        <w:rPr>
          <w:rFonts w:cs="Arial" w:ascii="Verdana" w:hAnsi="Verdana"/>
          <w:color w:val="000000"/>
          <w:sz w:val="20"/>
        </w:rPr>
        <w:t>9.1. A fiscalização será realizado pelo Almoxarifado da Secretaria Municipal de Saúde para acompanhar e fiscalizar a entrega dos materiais odontológicos, anotando em registro próprio todas as ocorrências relacionadas com a execução e determinando o que for necessário à regularização de falhas ou defeitos observados.</w:t>
      </w:r>
    </w:p>
    <w:p>
      <w:pPr>
        <w:pStyle w:val="Normal"/>
        <w:spacing w:lineRule="auto" w:line="240"/>
        <w:jc w:val="both"/>
        <w:rPr/>
      </w:pPr>
      <w:r>
        <w:rPr>
          <w:rFonts w:cs="Arial" w:ascii="Verdana" w:hAnsi="Verdana"/>
          <w:color w:val="000000"/>
          <w:sz w:val="20"/>
        </w:rPr>
        <w:t>9.2. A fiscalização de que trata este item não exclui nem reduz a responsabilidade da Contratada, inclusive perante terceiros, por qualquer irregularidade, ainda que resultante de imperfeições técnicas ou vícios redibitórios, e na ocorrência desta, não implica responsabilidade da Administração ou de seus agentes e prepostos, de conformidade com a Lei n.º 14.133/2021.</w:t>
      </w:r>
    </w:p>
    <w:p>
      <w:pPr>
        <w:pStyle w:val="Normal"/>
        <w:spacing w:lineRule="auto" w:line="240"/>
        <w:jc w:val="both"/>
        <w:rPr>
          <w:rFonts w:ascii="Verdana" w:hAnsi="Verdana" w:cs="Arial"/>
          <w:b/>
          <w:sz w:val="20"/>
          <w:u w:val="single"/>
        </w:rPr>
      </w:pPr>
      <w:r>
        <w:rPr>
          <w:rFonts w:cs="Arial" w:ascii="Verdana" w:hAnsi="Verdana"/>
          <w:b/>
          <w:sz w:val="20"/>
          <w:u w:val="single"/>
        </w:rPr>
      </w:r>
    </w:p>
    <w:p>
      <w:pPr>
        <w:pStyle w:val="Normal"/>
        <w:spacing w:lineRule="auto" w:line="240"/>
        <w:jc w:val="both"/>
        <w:rPr/>
      </w:pPr>
      <w:r>
        <w:rPr>
          <w:rFonts w:ascii="Verdana" w:hAnsi="Verdana"/>
          <w:b/>
          <w:bCs/>
          <w:sz w:val="20"/>
        </w:rPr>
        <w:t>10. CRITÉRIOS DE PAGAMENTO</w:t>
      </w:r>
    </w:p>
    <w:p>
      <w:pPr>
        <w:pStyle w:val="Normal"/>
        <w:spacing w:lineRule="auto" w:line="240"/>
        <w:jc w:val="both"/>
        <w:rPr/>
      </w:pPr>
      <w:r>
        <w:rPr>
          <w:rFonts w:ascii="Verdana" w:hAnsi="Verdana"/>
          <w:sz w:val="20"/>
          <w:lang w:eastAsia="en-US"/>
        </w:rPr>
        <w:t>10.1. Recebida a Nota Fiscal ou documento de cobrança equivalente, correrá o prazo de (30) trinta dias úteis para fins de liquidação, na forma desta seção, prorrogáveis por igual período.</w:t>
      </w:r>
    </w:p>
    <w:p>
      <w:pPr>
        <w:pStyle w:val="Normal"/>
        <w:spacing w:lineRule="auto" w:line="240"/>
        <w:ind w:left="-22" w:hanging="0"/>
        <w:jc w:val="both"/>
        <w:rPr/>
      </w:pPr>
      <w:r>
        <w:rPr>
          <w:rFonts w:ascii="Verdana" w:hAnsi="Verdana"/>
          <w:sz w:val="20"/>
        </w:rPr>
        <w:t xml:space="preserve">10.2. O prazo de que trata o item anterior será reduzido à metade, mantendo-se a possibilidade de prorrogação, no caso de contratações decorrentes de despesas cujos valores não ultrapassem o limite de que trata o </w:t>
      </w:r>
      <w:r>
        <w:fldChar w:fldCharType="begin"/>
      </w:r>
      <w:r>
        <w:rPr>
          <w:sz w:val="20"/>
          <w:rFonts w:ascii="Verdana" w:hAnsi="Verdana"/>
          <w:color w:val="000000"/>
        </w:rPr>
        <w:instrText xml:space="preserve"> HYPERLINK "http://www.planalto.gov.br/ccivil_03/_ato2019-2022/2021/lei/L14133.htm" \l "art75"</w:instrText>
      </w:r>
      <w:r>
        <w:rPr>
          <w:sz w:val="20"/>
          <w:rFonts w:ascii="Verdana" w:hAnsi="Verdana"/>
          <w:color w:val="000000"/>
        </w:rPr>
        <w:fldChar w:fldCharType="separate"/>
      </w:r>
      <w:r>
        <w:rPr>
          <w:rFonts w:ascii="Verdana" w:hAnsi="Verdana"/>
          <w:color w:val="000000"/>
          <w:sz w:val="20"/>
        </w:rPr>
        <w:t>inciso II do art. 75 da Lei nº 14.133, de 2021</w:t>
      </w:r>
      <w:r>
        <w:rPr>
          <w:sz w:val="20"/>
          <w:rFonts w:ascii="Verdana" w:hAnsi="Verdana"/>
          <w:color w:val="000000"/>
        </w:rPr>
        <w:fldChar w:fldCharType="end"/>
      </w:r>
      <w:r>
        <w:rPr>
          <w:rFonts w:ascii="Verdana" w:hAnsi="Verdana"/>
          <w:color w:val="000000"/>
          <w:sz w:val="20"/>
        </w:rPr>
        <w:t>.</w:t>
      </w:r>
    </w:p>
    <w:p>
      <w:pPr>
        <w:pStyle w:val="Normal"/>
        <w:spacing w:lineRule="auto" w:line="240"/>
        <w:ind w:left="-22" w:hanging="0"/>
        <w:jc w:val="both"/>
        <w:rPr/>
      </w:pPr>
      <w:r>
        <w:rPr>
          <w:rFonts w:ascii="Verdana" w:hAnsi="Verdana"/>
          <w:sz w:val="20"/>
        </w:rPr>
        <w:t xml:space="preserve">10.3.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240"/>
        <w:ind w:left="432" w:hanging="0"/>
        <w:jc w:val="both"/>
        <w:rPr/>
      </w:pPr>
      <w:r>
        <w:rPr>
          <w:rFonts w:ascii="Verdana" w:hAnsi="Verdana"/>
          <w:sz w:val="20"/>
        </w:rPr>
        <w:t>- O prazo de validade;</w:t>
      </w:r>
    </w:p>
    <w:p>
      <w:pPr>
        <w:pStyle w:val="Normal"/>
        <w:tabs>
          <w:tab w:val="clear" w:pos="708"/>
          <w:tab w:val="left" w:pos="563" w:leader="none"/>
        </w:tabs>
        <w:spacing w:lineRule="auto" w:line="240"/>
        <w:ind w:left="432" w:hanging="0"/>
        <w:jc w:val="both"/>
        <w:rPr/>
      </w:pPr>
      <w:r>
        <w:rPr>
          <w:rFonts w:ascii="Verdana" w:hAnsi="Verdana"/>
          <w:sz w:val="20"/>
        </w:rPr>
        <w:t xml:space="preserve">- A data da emissão; </w:t>
      </w:r>
    </w:p>
    <w:p>
      <w:pPr>
        <w:pStyle w:val="Normal"/>
        <w:tabs>
          <w:tab w:val="clear" w:pos="708"/>
          <w:tab w:val="left" w:pos="563" w:leader="none"/>
        </w:tabs>
        <w:spacing w:lineRule="auto" w:line="240"/>
        <w:ind w:left="432" w:hanging="0"/>
        <w:jc w:val="both"/>
        <w:rPr/>
      </w:pPr>
      <w:r>
        <w:rPr>
          <w:rFonts w:ascii="Verdana" w:hAnsi="Verdana"/>
          <w:sz w:val="20"/>
        </w:rPr>
        <w:t xml:space="preserve">- Os dados do contrato e do órgão contratante; </w:t>
      </w:r>
    </w:p>
    <w:p>
      <w:pPr>
        <w:pStyle w:val="Normal"/>
        <w:tabs>
          <w:tab w:val="clear" w:pos="708"/>
          <w:tab w:val="left" w:pos="563" w:leader="none"/>
        </w:tabs>
        <w:spacing w:lineRule="auto" w:line="240"/>
        <w:ind w:left="432" w:hanging="0"/>
        <w:jc w:val="both"/>
        <w:rPr/>
      </w:pPr>
      <w:r>
        <w:rPr>
          <w:rFonts w:ascii="Verdana" w:hAnsi="Verdana"/>
          <w:sz w:val="20"/>
        </w:rPr>
        <w:t xml:space="preserve">- O período respectivo de execução do contrato; </w:t>
      </w:r>
    </w:p>
    <w:p>
      <w:pPr>
        <w:pStyle w:val="Normal"/>
        <w:tabs>
          <w:tab w:val="clear" w:pos="708"/>
          <w:tab w:val="left" w:pos="563" w:leader="none"/>
        </w:tabs>
        <w:spacing w:lineRule="auto" w:line="240"/>
        <w:ind w:left="432" w:hanging="0"/>
        <w:jc w:val="both"/>
        <w:rPr/>
      </w:pPr>
      <w:r>
        <w:rPr>
          <w:rFonts w:ascii="Verdana" w:hAnsi="Verdana"/>
          <w:sz w:val="20"/>
        </w:rPr>
        <w:t xml:space="preserve">- O valor a pagar; e </w:t>
      </w:r>
    </w:p>
    <w:p>
      <w:pPr>
        <w:pStyle w:val="Normal"/>
        <w:tabs>
          <w:tab w:val="clear" w:pos="708"/>
          <w:tab w:val="left" w:pos="563" w:leader="none"/>
        </w:tabs>
        <w:spacing w:lineRule="auto" w:line="240"/>
        <w:ind w:left="432" w:hanging="0"/>
        <w:jc w:val="both"/>
        <w:rPr/>
      </w:pPr>
      <w:r>
        <w:rPr>
          <w:rFonts w:ascii="Verdana" w:hAnsi="Verdana"/>
          <w:sz w:val="20"/>
        </w:rPr>
        <w:t>- Eventual destaque do valor de retenções tributárias cabíveis.</w:t>
      </w:r>
    </w:p>
    <w:p>
      <w:pPr>
        <w:pStyle w:val="Normal"/>
        <w:tabs>
          <w:tab w:val="clear" w:pos="708"/>
          <w:tab w:val="left" w:pos="625" w:leader="none"/>
        </w:tabs>
        <w:spacing w:lineRule="auto" w:line="240"/>
        <w:ind w:left="-57" w:hanging="0"/>
        <w:jc w:val="both"/>
        <w:rPr/>
      </w:pPr>
      <w:r>
        <w:rPr>
          <w:rFonts w:ascii="Verdana" w:hAnsi="Verdana"/>
          <w:sz w:val="20"/>
        </w:rPr>
        <w:t>10.4.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40"/>
        <w:ind w:left="-22" w:hanging="0"/>
        <w:jc w:val="both"/>
        <w:rPr/>
      </w:pPr>
      <w:r>
        <w:rPr>
          <w:rFonts w:ascii="Verdana" w:hAnsi="Verdana"/>
          <w:sz w:val="20"/>
        </w:rPr>
        <w:t>10.5. A</w:t>
      </w:r>
      <w:r>
        <w:rPr>
          <w:rFonts w:ascii="Verdana" w:hAnsi="Verdana"/>
          <w:sz w:val="20"/>
          <w:lang w:eastAsia="en-US"/>
        </w:rPr>
        <w:t xml:space="preserve"> nota fiscal ou instrumento de cobrança equivalente deverá ser obrigatoriamente acompanhado da comprovação da regularidade fiscal</w:t>
      </w:r>
      <w:r>
        <w:rPr>
          <w:rStyle w:val="Hyperlink1"/>
          <w:rFonts w:ascii="Verdana" w:hAnsi="Verdana"/>
          <w:sz w:val="20"/>
          <w:lang w:eastAsia="en-US"/>
        </w:rPr>
        <w:t>.</w:t>
      </w:r>
    </w:p>
    <w:p>
      <w:pPr>
        <w:pStyle w:val="Normal"/>
        <w:spacing w:lineRule="auto" w:line="240"/>
        <w:ind w:left="-22" w:hanging="0"/>
        <w:jc w:val="both"/>
        <w:rPr/>
      </w:pPr>
      <w:r>
        <w:rPr>
          <w:rFonts w:ascii="Verdana" w:hAnsi="Verdana"/>
          <w:sz w:val="20"/>
        </w:rPr>
        <w:t>10.6. O pagamento será efetuado no prazo de até 30 (trinta) dias úteis contados da finalização da liquidação da despesa.</w:t>
      </w:r>
    </w:p>
    <w:p>
      <w:pPr>
        <w:pStyle w:val="Normal"/>
        <w:spacing w:lineRule="auto" w:line="240"/>
        <w:ind w:left="-22" w:hanging="0"/>
        <w:jc w:val="both"/>
        <w:rPr/>
      </w:pPr>
      <w:r>
        <w:rPr>
          <w:rFonts w:ascii="Verdana" w:hAnsi="Verdana"/>
          <w:sz w:val="20"/>
        </w:rPr>
        <w:t>10.7. O pagamento será realizado por meio de ordem bancária, para crédito em banco, agência e conta correntes indicadas pelo contratado.</w:t>
      </w:r>
    </w:p>
    <w:p>
      <w:pPr>
        <w:pStyle w:val="Normal"/>
        <w:spacing w:lineRule="auto" w:line="240"/>
        <w:ind w:left="-22" w:hanging="0"/>
        <w:jc w:val="both"/>
        <w:rPr/>
      </w:pPr>
      <w:r>
        <w:rPr>
          <w:rFonts w:ascii="Verdana" w:hAnsi="Verdana"/>
          <w:sz w:val="20"/>
        </w:rPr>
        <w:t>10.8. Será considerada data do pagamento o dia em que constar como emitida a ordem bancária para pagamento.</w:t>
      </w:r>
    </w:p>
    <w:p>
      <w:pPr>
        <w:pStyle w:val="Normal"/>
        <w:spacing w:lineRule="auto" w:line="240"/>
        <w:ind w:left="-79" w:hanging="0"/>
        <w:jc w:val="both"/>
        <w:rPr/>
      </w:pPr>
      <w:r>
        <w:rPr>
          <w:rFonts w:ascii="Verdana" w:hAnsi="Verdana"/>
          <w:sz w:val="20"/>
        </w:rPr>
        <w:t>10.9. Quando do pagamento, será efetuada a retenção tributária prevista na legislação aplicável.</w:t>
      </w:r>
    </w:p>
    <w:p>
      <w:pPr>
        <w:pStyle w:val="Normal"/>
        <w:spacing w:lineRule="auto" w:line="240"/>
        <w:ind w:left="-79" w:hanging="0"/>
        <w:jc w:val="both"/>
        <w:rPr/>
      </w:pPr>
      <w:r>
        <w:rPr>
          <w:rFonts w:ascii="Verdana" w:hAnsi="Verdana"/>
          <w:sz w:val="20"/>
          <w:lang w:eastAsia="en-US"/>
        </w:rPr>
        <w:t xml:space="preserve">10.10. O contratado regularmente optante pelo Simples Nacional, nos termos da </w:t>
      </w:r>
      <w:hyperlink r:id="rId2">
        <w:r>
          <w:rPr>
            <w:rFonts w:ascii="Verdana" w:hAnsi="Verdana"/>
            <w:sz w:val="20"/>
            <w:lang w:eastAsia="en-US"/>
          </w:rPr>
          <w:t>Lei Complementar nº 123, de 2006</w:t>
        </w:r>
      </w:hyperlink>
      <w:r>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40"/>
        <w:ind w:left="-79" w:hanging="0"/>
        <w:jc w:val="both"/>
        <w:rPr/>
      </w:pPr>
      <w:r>
        <w:rPr>
          <w:rFonts w:ascii="Verdana" w:hAnsi="Verdana"/>
          <w:sz w:val="20"/>
          <w:lang w:eastAsia="en-US"/>
        </w:rPr>
        <w:t>10.11.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40"/>
        <w:ind w:left="-79" w:hanging="0"/>
        <w:jc w:val="both"/>
        <w:rPr/>
      </w:pPr>
      <w:r>
        <w:rPr>
          <w:rFonts w:ascii="Verdana" w:hAnsi="Verdana"/>
          <w:color w:val="000000"/>
          <w:sz w:val="20"/>
        </w:rPr>
        <w:t>10.11.</w:t>
      </w:r>
      <w:r>
        <w:rPr>
          <w:rFonts w:ascii="Verdana" w:hAnsi="Verdana"/>
          <w:b/>
          <w:bCs/>
          <w:color w:val="000000"/>
          <w:sz w:val="20"/>
        </w:rPr>
        <w:t xml:space="preserve"> </w:t>
      </w:r>
      <w:r>
        <w:rPr>
          <w:rFonts w:ascii="Verdana" w:hAnsi="Verdana"/>
          <w:sz w:val="20"/>
        </w:rPr>
        <w:t xml:space="preserve"> Após o prazo acima referenciado, será paga multa financeira nos seguintes termos:</w:t>
      </w:r>
    </w:p>
    <w:p>
      <w:pPr>
        <w:pStyle w:val="ListParagraph"/>
        <w:tabs>
          <w:tab w:val="clear" w:pos="708"/>
          <w:tab w:val="left" w:pos="518" w:leader="none"/>
        </w:tabs>
        <w:spacing w:lineRule="auto" w:line="240"/>
        <w:ind w:left="0" w:hanging="0"/>
        <w:jc w:val="center"/>
        <w:rPr/>
      </w:pPr>
      <w:r>
        <w:rPr>
          <w:rFonts w:cs="Verdana" w:ascii="Verdana" w:hAnsi="Verdana"/>
          <w:sz w:val="20"/>
          <w:szCs w:val="20"/>
        </w:rPr>
        <w:t xml:space="preserve">VM = VF </w:t>
      </w:r>
      <w:r>
        <w:rPr>
          <w:rFonts w:cs="Verdana" w:ascii="Verdana" w:hAnsi="Verdana"/>
          <w:sz w:val="20"/>
          <w:szCs w:val="20"/>
          <w:vertAlign w:val="subscript"/>
        </w:rPr>
        <w:t>*</w:t>
      </w:r>
      <w:r>
        <w:rPr>
          <w:rFonts w:cs="Verdana" w:ascii="Verdana" w:hAnsi="Verdana"/>
          <w:sz w:val="20"/>
          <w:szCs w:val="20"/>
        </w:rPr>
        <w:t xml:space="preserve"> </w:t>
      </w:r>
      <w:r>
        <w:rPr>
          <w:rFonts w:cs="Verdana" w:ascii="Verdana" w:hAnsi="Verdana"/>
          <w:sz w:val="20"/>
          <w:szCs w:val="20"/>
          <w:u w:val="single"/>
        </w:rPr>
        <w:t>0,33</w:t>
      </w:r>
      <w:r>
        <w:rPr>
          <w:rFonts w:cs="Verdana" w:ascii="Verdana" w:hAnsi="Verdana"/>
          <w:sz w:val="20"/>
          <w:szCs w:val="20"/>
        </w:rPr>
        <w:t xml:space="preserve"> </w:t>
      </w:r>
      <w:r>
        <w:rPr>
          <w:rFonts w:cs="Verdana" w:ascii="Verdana" w:hAnsi="Verdana"/>
          <w:sz w:val="20"/>
          <w:szCs w:val="20"/>
          <w:vertAlign w:val="subscript"/>
        </w:rPr>
        <w:t>*</w:t>
      </w:r>
      <w:r>
        <w:rPr>
          <w:rFonts w:cs="Verdana" w:ascii="Verdana" w:hAnsi="Verdana"/>
          <w:sz w:val="20"/>
          <w:szCs w:val="20"/>
        </w:rPr>
        <w:t xml:space="preserve"> ND</w:t>
      </w:r>
    </w:p>
    <w:p>
      <w:pPr>
        <w:pStyle w:val="ListParagraph"/>
        <w:tabs>
          <w:tab w:val="clear" w:pos="708"/>
          <w:tab w:val="left" w:pos="518" w:leader="none"/>
        </w:tabs>
        <w:spacing w:lineRule="auto" w:line="240"/>
        <w:ind w:left="0" w:hanging="0"/>
        <w:jc w:val="center"/>
        <w:rPr/>
      </w:pPr>
      <w:r>
        <w:rPr>
          <w:rFonts w:eastAsia="Verdana" w:cs="Verdana" w:ascii="Verdana" w:hAnsi="Verdana"/>
          <w:sz w:val="20"/>
          <w:szCs w:val="20"/>
        </w:rPr>
        <w:t xml:space="preserve">        </w:t>
      </w:r>
      <w:r>
        <w:rPr>
          <w:rFonts w:cs="Verdana" w:ascii="Verdana" w:hAnsi="Verdana"/>
          <w:sz w:val="20"/>
          <w:szCs w:val="20"/>
        </w:rPr>
        <w:t>100</w:t>
      </w:r>
    </w:p>
    <w:p>
      <w:pPr>
        <w:pStyle w:val="Normal"/>
        <w:suppressAutoHyphens w:val="false"/>
        <w:spacing w:lineRule="auto" w:line="240"/>
        <w:rPr/>
      </w:pPr>
      <w:r>
        <w:rPr>
          <w:rFonts w:cs="Arial" w:ascii="Verdana" w:hAnsi="Verdana"/>
          <w:color w:val="000000"/>
          <w:sz w:val="20"/>
        </w:rPr>
        <w:t xml:space="preserve">Onde: </w:t>
      </w:r>
    </w:p>
    <w:p>
      <w:pPr>
        <w:pStyle w:val="Normal"/>
        <w:suppressAutoHyphens w:val="false"/>
        <w:spacing w:lineRule="auto" w:line="240"/>
        <w:rPr/>
      </w:pPr>
      <w:r>
        <w:rPr>
          <w:rFonts w:cs="Arial" w:ascii="Verdana" w:hAnsi="Verdana"/>
          <w:color w:val="000000"/>
          <w:sz w:val="20"/>
        </w:rPr>
        <w:t xml:space="preserve">VM = Valor da Multa Financeira; </w:t>
      </w:r>
    </w:p>
    <w:p>
      <w:pPr>
        <w:pStyle w:val="Normal"/>
        <w:suppressAutoHyphens w:val="false"/>
        <w:spacing w:lineRule="auto" w:line="240"/>
        <w:rPr/>
      </w:pPr>
      <w:r>
        <w:rPr>
          <w:rFonts w:cs="Arial" w:ascii="Verdana" w:hAnsi="Verdana"/>
          <w:color w:val="000000"/>
          <w:sz w:val="20"/>
        </w:rPr>
        <w:t xml:space="preserve">VF = Valor da Nota Fiscal; </w:t>
      </w:r>
    </w:p>
    <w:p>
      <w:pPr>
        <w:pStyle w:val="ListParagraph"/>
        <w:tabs>
          <w:tab w:val="clear" w:pos="708"/>
          <w:tab w:val="left" w:pos="518" w:leader="none"/>
        </w:tabs>
        <w:spacing w:lineRule="auto" w:line="240"/>
        <w:ind w:left="0" w:hanging="0"/>
        <w:rPr/>
      </w:pPr>
      <w:r>
        <w:rPr>
          <w:rFonts w:eastAsia="Times New Roman" w:cs="Arial" w:ascii="Verdana" w:hAnsi="Verdana"/>
          <w:color w:val="000000"/>
          <w:sz w:val="20"/>
          <w:szCs w:val="20"/>
        </w:rPr>
        <w:t>ND = Número de dias em atraso.</w:t>
      </w:r>
    </w:p>
    <w:p>
      <w:pPr>
        <w:pStyle w:val="Normal"/>
        <w:suppressAutoHyphens w:val="false"/>
        <w:spacing w:lineRule="auto" w:line="240"/>
        <w:jc w:val="both"/>
        <w:rPr/>
      </w:pPr>
      <w:r>
        <w:rPr>
          <w:rFonts w:cs="Arial" w:ascii="Verdana" w:hAnsi="Verdana"/>
          <w:color w:val="000000"/>
          <w:sz w:val="20"/>
        </w:rPr>
        <w:t>10.12.. A NOTA FISCAL ELETRÔNICA deverá conter o mesmo CNPJ e razão social apresentado quando na proposta, assim como, o número da contratação, o (s) objeto (s), os valores unitários e totais.</w:t>
      </w:r>
    </w:p>
    <w:p>
      <w:pPr>
        <w:pStyle w:val="Normal"/>
        <w:suppressAutoHyphens w:val="false"/>
        <w:spacing w:lineRule="auto" w:line="240"/>
        <w:jc w:val="both"/>
        <w:rPr/>
      </w:pPr>
      <w:r>
        <w:rPr>
          <w:rFonts w:cs="Arial" w:ascii="Verdana" w:hAnsi="Verdana"/>
          <w:color w:val="000000"/>
          <w:sz w:val="20"/>
        </w:rPr>
        <w:t xml:space="preserve">10.13. Qualquer alteração feita no contrato social, ato constitutivo ou estatuto deverá ser comunicado ao CONTRATANTE, mediante documentação própria, para apreciação da autoridade competente. </w:t>
      </w:r>
    </w:p>
    <w:p>
      <w:pPr>
        <w:pStyle w:val="Normal"/>
        <w:suppressAutoHyphens w:val="false"/>
        <w:spacing w:lineRule="auto" w:line="240"/>
        <w:jc w:val="both"/>
        <w:rPr/>
      </w:pPr>
      <w:r>
        <w:rPr>
          <w:rFonts w:cs="Arial" w:ascii="Verdana" w:hAnsi="Verdana"/>
          <w:color w:val="000000"/>
          <w:sz w:val="20"/>
        </w:rPr>
        <w:t>10.14. O CONTRATANTE poderá deduzir do pagamento importâncias que a qualquer título lhe forem devidos pela empresa CONTRATADA, em decorrência de descumprimento de suas obrigações.</w:t>
      </w:r>
    </w:p>
    <w:p>
      <w:pPr>
        <w:pStyle w:val="Default"/>
        <w:spacing w:lineRule="auto" w:line="240"/>
        <w:jc w:val="both"/>
        <w:rPr/>
      </w:pPr>
      <w:r>
        <w:rPr>
          <w:rFonts w:cs="Arial" w:ascii="Verdana" w:hAnsi="Verdana"/>
          <w:sz w:val="20"/>
          <w:szCs w:val="20"/>
        </w:rPr>
        <w:t xml:space="preserve">10.15. Para a efetivação do pagamento, a CONTRATADA deverá manter as </w:t>
      </w:r>
      <w:r>
        <w:rPr>
          <w:rFonts w:cs="Arial" w:ascii="Verdana" w:hAnsi="Verdana"/>
          <w:sz w:val="20"/>
          <w:szCs w:val="20"/>
          <w:lang w:eastAsia="pt-BR"/>
        </w:rPr>
        <w:t>condições relativas à proposta de preço e a habilitação;</w:t>
      </w:r>
    </w:p>
    <w:p>
      <w:pPr>
        <w:pStyle w:val="Default"/>
        <w:spacing w:lineRule="auto" w:line="24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jc w:val="both"/>
        <w:rPr/>
      </w:pPr>
      <w:r>
        <w:rPr>
          <w:rFonts w:ascii="Verdana" w:hAnsi="Verdana"/>
          <w:b/>
          <w:bCs/>
          <w:iCs/>
          <w:color w:val="000000"/>
          <w:sz w:val="20"/>
        </w:rPr>
        <w:t>11</w:t>
      </w:r>
      <w:r>
        <w:rPr>
          <w:rFonts w:ascii="Verdana" w:hAnsi="Verdana"/>
          <w:b/>
          <w:bCs/>
          <w:iCs/>
          <w:sz w:val="20"/>
        </w:rPr>
        <w:t>. DAS SANÇÕES</w:t>
      </w:r>
    </w:p>
    <w:p>
      <w:pPr>
        <w:pStyle w:val="Normal"/>
        <w:spacing w:lineRule="auto" w:line="240"/>
        <w:jc w:val="both"/>
        <w:rPr/>
      </w:pPr>
      <w:r>
        <w:rPr>
          <w:rFonts w:ascii="Verdana" w:hAnsi="Verdana"/>
          <w:iCs/>
          <w:color w:val="000000"/>
          <w:sz w:val="20"/>
        </w:rPr>
        <w:t>11</w:t>
      </w:r>
      <w:r>
        <w:rPr>
          <w:rFonts w:ascii="Verdana" w:hAnsi="Verdana"/>
          <w:iCs/>
          <w:sz w:val="20"/>
        </w:rPr>
        <w:t>.1. Comete infração administrativa o fornecedor/prestador de serviço que cometer quaisquer das infrações previstas no art. 155 da Lei nº 14.133, de 2021, quais sejam:</w:t>
      </w:r>
    </w:p>
    <w:p>
      <w:pPr>
        <w:pStyle w:val="Normal"/>
        <w:spacing w:lineRule="auto" w:line="240"/>
        <w:jc w:val="both"/>
        <w:rPr/>
      </w:pPr>
      <w:r>
        <w:rPr>
          <w:rFonts w:ascii="Verdana" w:hAnsi="Verdana"/>
          <w:iCs/>
          <w:color w:val="000000"/>
          <w:sz w:val="20"/>
        </w:rPr>
        <w:t>11</w:t>
      </w:r>
      <w:r>
        <w:rPr>
          <w:rFonts w:ascii="Verdana" w:hAnsi="Verdana"/>
          <w:iCs/>
          <w:sz w:val="20"/>
        </w:rPr>
        <w:t>.1.1. Dar causa à inexecução parcial do contrato.</w:t>
      </w:r>
    </w:p>
    <w:p>
      <w:pPr>
        <w:pStyle w:val="Normal"/>
        <w:spacing w:lineRule="auto" w:line="240"/>
        <w:jc w:val="both"/>
        <w:rPr/>
      </w:pPr>
      <w:r>
        <w:rPr>
          <w:rFonts w:ascii="Verdana" w:hAnsi="Verdana"/>
          <w:iCs/>
          <w:color w:val="000000"/>
          <w:sz w:val="20"/>
        </w:rPr>
        <w:t>11</w:t>
      </w:r>
      <w:r>
        <w:rPr>
          <w:rFonts w:ascii="Verdana" w:hAnsi="Verdana"/>
          <w:iCs/>
          <w:sz w:val="20"/>
        </w:rPr>
        <w:t>.1.2. Dar causa à inexecução parcial que cause grave dano à Administração, ao funcionamento dos serviços públicos ou ao interesse coletivo.</w:t>
      </w:r>
    </w:p>
    <w:p>
      <w:pPr>
        <w:pStyle w:val="Normal"/>
        <w:spacing w:lineRule="auto" w:line="240"/>
        <w:jc w:val="both"/>
        <w:rPr/>
      </w:pPr>
      <w:r>
        <w:rPr>
          <w:rFonts w:ascii="Verdana" w:hAnsi="Verdana"/>
          <w:iCs/>
          <w:color w:val="000000"/>
          <w:sz w:val="20"/>
        </w:rPr>
        <w:t>11</w:t>
      </w:r>
      <w:r>
        <w:rPr>
          <w:rFonts w:ascii="Verdana" w:hAnsi="Verdana"/>
          <w:iCs/>
          <w:sz w:val="20"/>
        </w:rPr>
        <w:t xml:space="preserve">.1.3. Dar causa à inexecução </w:t>
      </w:r>
      <w:r>
        <w:rPr>
          <w:rFonts w:cs="Arial" w:ascii="Verdana" w:hAnsi="Verdana"/>
          <w:iCs/>
          <w:sz w:val="20"/>
        </w:rPr>
        <w:t>total.</w:t>
      </w:r>
    </w:p>
    <w:p>
      <w:pPr>
        <w:pStyle w:val="Normal"/>
        <w:spacing w:lineRule="auto" w:line="240"/>
        <w:jc w:val="both"/>
        <w:rPr/>
      </w:pPr>
      <w:r>
        <w:rPr>
          <w:rFonts w:ascii="Verdana" w:hAnsi="Verdana"/>
          <w:iCs/>
          <w:color w:val="000000"/>
          <w:sz w:val="20"/>
        </w:rPr>
        <w:t>11</w:t>
      </w:r>
      <w:r>
        <w:rPr>
          <w:rFonts w:ascii="Verdana" w:hAnsi="Verdana"/>
          <w:iCs/>
          <w:sz w:val="20"/>
        </w:rPr>
        <w:t>.1.4. Deixar de entregar a documentação exigida para o certame.</w:t>
      </w:r>
    </w:p>
    <w:p>
      <w:pPr>
        <w:pStyle w:val="Normal"/>
        <w:spacing w:lineRule="auto" w:line="240"/>
        <w:jc w:val="both"/>
        <w:rPr/>
      </w:pPr>
      <w:r>
        <w:rPr>
          <w:rFonts w:ascii="Verdana" w:hAnsi="Verdana"/>
          <w:iCs/>
          <w:color w:val="000000"/>
          <w:sz w:val="20"/>
        </w:rPr>
        <w:t>11</w:t>
      </w:r>
      <w:r>
        <w:rPr>
          <w:rFonts w:ascii="Verdana" w:hAnsi="Verdana"/>
          <w:iCs/>
          <w:sz w:val="20"/>
        </w:rPr>
        <w:t>.1.5. Não manter a proposta, salvo em decorrência de fato superveniente devidamente justificado.</w:t>
      </w:r>
    </w:p>
    <w:p>
      <w:pPr>
        <w:pStyle w:val="Normal"/>
        <w:spacing w:lineRule="auto" w:line="240"/>
        <w:jc w:val="both"/>
        <w:rPr/>
      </w:pPr>
      <w:r>
        <w:rPr>
          <w:rFonts w:ascii="Verdana" w:hAnsi="Verdana"/>
          <w:iCs/>
          <w:color w:val="000000"/>
          <w:sz w:val="20"/>
        </w:rPr>
        <w:t>11</w:t>
      </w:r>
      <w:r>
        <w:rPr>
          <w:rFonts w:ascii="Verdana" w:hAnsi="Verdana"/>
          <w:iCs/>
          <w:sz w:val="20"/>
        </w:rPr>
        <w:t xml:space="preserve">.1.6. Não celebrar o contrato ou não entregar a documentação exigida para a contratação, quando convocado dentro do prazo de validade de sua proposta. </w:t>
      </w:r>
    </w:p>
    <w:p>
      <w:pPr>
        <w:pStyle w:val="Normal"/>
        <w:spacing w:lineRule="auto" w:line="240"/>
        <w:jc w:val="both"/>
        <w:rPr/>
      </w:pPr>
      <w:r>
        <w:rPr>
          <w:rFonts w:ascii="Verdana" w:hAnsi="Verdana"/>
          <w:iCs/>
          <w:color w:val="000000"/>
          <w:sz w:val="20"/>
        </w:rPr>
        <w:t>11</w:t>
      </w:r>
      <w:r>
        <w:rPr>
          <w:rFonts w:ascii="Verdana" w:hAnsi="Verdana"/>
          <w:iCs/>
          <w:sz w:val="20"/>
        </w:rPr>
        <w:t>.1.7. Ensejar o retardamento da execução ou da entrega do objeto sem motivo justificado,</w:t>
      </w:r>
    </w:p>
    <w:p>
      <w:pPr>
        <w:pStyle w:val="Normal"/>
        <w:spacing w:lineRule="auto" w:line="240"/>
        <w:jc w:val="both"/>
        <w:rPr/>
      </w:pPr>
      <w:r>
        <w:rPr>
          <w:rFonts w:ascii="Verdana" w:hAnsi="Verdana"/>
          <w:iCs/>
          <w:color w:val="000000"/>
          <w:sz w:val="20"/>
        </w:rPr>
        <w:t>11</w:t>
      </w:r>
      <w:r>
        <w:rPr>
          <w:rFonts w:ascii="Verdana" w:hAnsi="Verdana"/>
          <w:iCs/>
          <w:sz w:val="20"/>
        </w:rPr>
        <w:t>.1.8. Apresentar declaração ou documentação falsa exigida para o certame ou prestar declaração falsa durante a dispensa eletrônica ou a execução do objeto.</w:t>
      </w:r>
    </w:p>
    <w:p>
      <w:pPr>
        <w:pStyle w:val="Normal"/>
        <w:spacing w:lineRule="auto" w:line="240"/>
        <w:jc w:val="both"/>
        <w:rPr/>
      </w:pPr>
      <w:r>
        <w:rPr>
          <w:rFonts w:ascii="Verdana" w:hAnsi="Verdana"/>
          <w:iCs/>
          <w:sz w:val="20"/>
        </w:rPr>
        <w:t>11.1.9. Fraudar a dispensa eletrônica ou praticar ato fraudulento na execução do objeto.</w:t>
      </w:r>
    </w:p>
    <w:p>
      <w:pPr>
        <w:pStyle w:val="Normal"/>
        <w:spacing w:lineRule="auto" w:line="240"/>
        <w:jc w:val="both"/>
        <w:rPr/>
      </w:pPr>
      <w:r>
        <w:rPr>
          <w:rFonts w:ascii="Verdana" w:hAnsi="Verdana"/>
          <w:iCs/>
          <w:color w:val="000000"/>
          <w:sz w:val="20"/>
        </w:rPr>
        <w:t>11</w:t>
      </w:r>
      <w:r>
        <w:rPr>
          <w:rFonts w:ascii="Verdana" w:hAnsi="Verdana"/>
          <w:iCs/>
          <w:sz w:val="20"/>
        </w:rPr>
        <w:t>.1.10. Comportar-se de modo inidôneo ou cometer fraude de qualquer natureza.</w:t>
      </w:r>
    </w:p>
    <w:p>
      <w:pPr>
        <w:pStyle w:val="Normal"/>
        <w:spacing w:lineRule="auto" w:line="240"/>
        <w:jc w:val="both"/>
        <w:rPr/>
      </w:pPr>
      <w:r>
        <w:rPr>
          <w:rFonts w:ascii="Verdana" w:hAnsi="Verdana"/>
          <w:iCs/>
          <w:color w:val="000000"/>
          <w:sz w:val="20"/>
        </w:rPr>
        <w:t>11</w:t>
      </w:r>
      <w:r>
        <w:rPr>
          <w:rFonts w:ascii="Verdana" w:hAnsi="Verdana"/>
          <w:iCs/>
          <w:sz w:val="20"/>
        </w:rPr>
        <w:t>.1.10.1.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240"/>
        <w:jc w:val="both"/>
        <w:rPr/>
      </w:pPr>
      <w:r>
        <w:rPr>
          <w:rFonts w:ascii="Verdana" w:hAnsi="Verdana"/>
          <w:iCs/>
          <w:color w:val="000000"/>
          <w:sz w:val="20"/>
        </w:rPr>
        <w:t>11</w:t>
      </w:r>
      <w:r>
        <w:rPr>
          <w:rFonts w:ascii="Verdana" w:hAnsi="Verdana"/>
          <w:iCs/>
          <w:sz w:val="20"/>
        </w:rPr>
        <w:t>.1.11. Praticar atos ilícitos com vistas a frustrar os objetivos deste certame.</w:t>
      </w:r>
    </w:p>
    <w:p>
      <w:pPr>
        <w:pStyle w:val="Normal"/>
        <w:spacing w:lineRule="auto" w:line="240"/>
        <w:jc w:val="both"/>
        <w:rPr/>
      </w:pPr>
      <w:r>
        <w:rPr>
          <w:rFonts w:ascii="Verdana" w:hAnsi="Verdana"/>
          <w:iCs/>
          <w:color w:val="000000"/>
          <w:sz w:val="20"/>
        </w:rPr>
        <w:t>11</w:t>
      </w:r>
      <w:r>
        <w:rPr>
          <w:rFonts w:ascii="Verdana" w:hAnsi="Verdana"/>
          <w:iCs/>
          <w:sz w:val="20"/>
        </w:rPr>
        <w:t>.1.12. Praticar ato lesivo previsto no art. 5º da Lei nº 12.846, de 1º de agosto de 2013.</w:t>
      </w:r>
    </w:p>
    <w:p>
      <w:pPr>
        <w:pStyle w:val="Normal"/>
        <w:spacing w:lineRule="auto" w:line="240"/>
        <w:jc w:val="both"/>
        <w:rPr/>
      </w:pPr>
      <w:r>
        <w:rPr>
          <w:rFonts w:ascii="Verdana" w:hAnsi="Verdana"/>
          <w:iCs/>
          <w:color w:val="000000"/>
          <w:sz w:val="20"/>
        </w:rPr>
        <w:t>11.1.13.</w:t>
      </w:r>
      <w:r>
        <w:rPr>
          <w:rFonts w:ascii="Verdana" w:hAnsi="Verdana"/>
          <w:iCs/>
          <w:sz w:val="20"/>
        </w:rPr>
        <w:t xml:space="preserve"> O fornecedor que cometer qualquer das infrações discriminadas nos subitens anteriores ficará sujeito, sem prejuízo da responsabilidade civil e criminal, às seguintes sanções:</w:t>
      </w:r>
    </w:p>
    <w:p>
      <w:pPr>
        <w:pStyle w:val="Normal"/>
        <w:spacing w:lineRule="auto" w:line="240"/>
        <w:jc w:val="both"/>
        <w:rPr/>
      </w:pPr>
      <w:r>
        <w:rPr>
          <w:rFonts w:ascii="Verdana" w:hAnsi="Verdana"/>
          <w:iCs/>
          <w:sz w:val="20"/>
        </w:rPr>
        <w:t>a) Advertência pela falta do subitem 11.1.1 deste Termo de Referência, quando não se justificar a imposição de penalidade mais grave.</w:t>
      </w:r>
    </w:p>
    <w:p>
      <w:pPr>
        <w:pStyle w:val="Normal"/>
        <w:spacing w:lineRule="auto" w:line="240"/>
        <w:ind w:left="-57" w:hanging="0"/>
        <w:jc w:val="both"/>
        <w:rPr/>
      </w:pPr>
      <w:r>
        <w:rPr>
          <w:rFonts w:ascii="Verdana" w:hAnsi="Verdana"/>
          <w:iCs/>
          <w:sz w:val="20"/>
        </w:rPr>
        <w:t xml:space="preserve">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Pr>
          <w:rFonts w:ascii="Verdana" w:hAnsi="Verdana"/>
          <w:iCs/>
          <w:color w:val="000000"/>
          <w:sz w:val="20"/>
        </w:rPr>
        <w:t>11</w:t>
      </w:r>
      <w:r>
        <w:rPr>
          <w:rFonts w:ascii="Verdana" w:hAnsi="Verdana"/>
          <w:iCs/>
          <w:sz w:val="20"/>
        </w:rPr>
        <w:t xml:space="preserve">.1.7 e 20% (vinte por cento), se cometidas infrações previstas nos itens 11.1.8 a 11.1.12; </w:t>
      </w:r>
    </w:p>
    <w:p>
      <w:pPr>
        <w:pStyle w:val="Normal"/>
        <w:spacing w:lineRule="auto" w:line="240"/>
        <w:ind w:left="-57" w:hanging="0"/>
        <w:jc w:val="both"/>
        <w:rPr/>
      </w:pPr>
      <w:r>
        <w:rPr>
          <w:rFonts w:ascii="Verdana" w:hAnsi="Verdana"/>
          <w:iCs/>
          <w:sz w:val="20"/>
        </w:rPr>
        <w:tab/>
        <w:t>b.1) O valor da multa poderá ser descontado das faturas devidas à CONTRATADA;</w:t>
      </w:r>
    </w:p>
    <w:p>
      <w:pPr>
        <w:pStyle w:val="Normal"/>
        <w:spacing w:lineRule="auto" w:line="240"/>
        <w:jc w:val="both"/>
        <w:rPr/>
      </w:pPr>
      <w:r>
        <w:rPr>
          <w:rFonts w:ascii="Verdana" w:hAnsi="Verdana"/>
          <w:iCs/>
          <w:sz w:val="20"/>
        </w:rPr>
        <w:t xml:space="preserve">b.2) A multa pode ser aplicada isoladamente ou juntamente com as penalidades definidas nos itens “c” e “d” abaixo: </w:t>
      </w:r>
    </w:p>
    <w:p>
      <w:pPr>
        <w:pStyle w:val="Normal"/>
        <w:spacing w:lineRule="auto" w:line="240"/>
        <w:jc w:val="both"/>
        <w:rPr/>
      </w:pPr>
      <w:r>
        <w:rPr>
          <w:rFonts w:ascii="Verdana" w:hAnsi="Verdana"/>
          <w:iCs/>
          <w:sz w:val="20"/>
        </w:rPr>
        <w:t>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pPr>
        <w:pStyle w:val="Normal"/>
        <w:spacing w:lineRule="auto" w:line="240"/>
        <w:jc w:val="both"/>
        <w:rPr/>
      </w:pPr>
      <w:r>
        <w:rPr>
          <w:rFonts w:ascii="Verdana" w:hAnsi="Verdana"/>
          <w:iCs/>
          <w:sz w:val="20"/>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pPr>
        <w:pStyle w:val="Normal"/>
        <w:spacing w:lineRule="auto" w:line="240"/>
        <w:jc w:val="both"/>
        <w:rPr/>
      </w:pPr>
      <w:r>
        <w:rPr>
          <w:rFonts w:ascii="Verdana" w:hAnsi="Verdana"/>
          <w:iCs/>
          <w:color w:val="000000"/>
          <w:sz w:val="20"/>
        </w:rPr>
        <w:t>11</w:t>
      </w:r>
      <w:r>
        <w:rPr>
          <w:rFonts w:ascii="Verdana" w:hAnsi="Verdana"/>
          <w:iCs/>
          <w:sz w:val="20"/>
        </w:rPr>
        <w:t>.3. Na aplicação das sanções serão considerados:</w:t>
      </w:r>
    </w:p>
    <w:p>
      <w:pPr>
        <w:pStyle w:val="Normal"/>
        <w:spacing w:lineRule="auto" w:line="240"/>
        <w:jc w:val="both"/>
        <w:rPr/>
      </w:pPr>
      <w:r>
        <w:rPr>
          <w:rFonts w:ascii="Verdana" w:hAnsi="Verdana"/>
          <w:iCs/>
          <w:color w:val="000000"/>
          <w:sz w:val="20"/>
        </w:rPr>
        <w:t>11</w:t>
      </w:r>
      <w:r>
        <w:rPr>
          <w:rFonts w:ascii="Verdana" w:hAnsi="Verdana"/>
          <w:iCs/>
          <w:sz w:val="20"/>
        </w:rPr>
        <w:t>.3.1. A natureza e a gravidade da infração cometida.</w:t>
      </w:r>
    </w:p>
    <w:p>
      <w:pPr>
        <w:pStyle w:val="Normal"/>
        <w:spacing w:lineRule="auto" w:line="240"/>
        <w:jc w:val="both"/>
        <w:rPr/>
      </w:pPr>
      <w:r>
        <w:rPr>
          <w:rFonts w:ascii="Verdana" w:hAnsi="Verdana"/>
          <w:iCs/>
          <w:sz w:val="20"/>
        </w:rPr>
        <w:t>11.3.2. As peculiaridades do caso concreto.</w:t>
      </w:r>
    </w:p>
    <w:p>
      <w:pPr>
        <w:pStyle w:val="Normal"/>
        <w:spacing w:lineRule="auto" w:line="240"/>
        <w:jc w:val="both"/>
        <w:rPr/>
      </w:pPr>
      <w:r>
        <w:rPr>
          <w:rFonts w:ascii="Verdana" w:hAnsi="Verdana"/>
          <w:iCs/>
          <w:sz w:val="20"/>
        </w:rPr>
        <w:t>11.3.3. As circunstâncias agravantes ou atenuantes.</w:t>
      </w:r>
    </w:p>
    <w:p>
      <w:pPr>
        <w:pStyle w:val="Normal"/>
        <w:spacing w:lineRule="auto" w:line="240"/>
        <w:jc w:val="both"/>
        <w:rPr/>
      </w:pPr>
      <w:r>
        <w:rPr>
          <w:rFonts w:ascii="Verdana" w:hAnsi="Verdana"/>
          <w:iCs/>
          <w:sz w:val="20"/>
        </w:rPr>
        <w:t>11.3.4. Os danos que dela provierem para a Administração Pública.</w:t>
      </w:r>
    </w:p>
    <w:p>
      <w:pPr>
        <w:pStyle w:val="Normal"/>
        <w:spacing w:lineRule="auto" w:line="240"/>
        <w:jc w:val="both"/>
        <w:rPr/>
      </w:pPr>
      <w:r>
        <w:rPr>
          <w:rFonts w:ascii="Verdana" w:hAnsi="Verdana"/>
          <w:iCs/>
          <w:color w:val="000000"/>
          <w:sz w:val="20"/>
        </w:rPr>
        <w:t>11</w:t>
      </w:r>
      <w:r>
        <w:rPr>
          <w:rFonts w:ascii="Verdana" w:hAnsi="Verdana"/>
          <w:iCs/>
          <w:sz w:val="20"/>
        </w:rPr>
        <w:t>.3.5. A implantação ou o aperfeiçoamento de programa de integridade, conforme normas e orientações dos órgãos de controle.</w:t>
      </w:r>
    </w:p>
    <w:p>
      <w:pPr>
        <w:pStyle w:val="Normal"/>
        <w:spacing w:lineRule="auto" w:line="240"/>
        <w:jc w:val="both"/>
        <w:rPr/>
      </w:pPr>
      <w:r>
        <w:rPr>
          <w:rFonts w:ascii="Verdana" w:hAnsi="Verdana"/>
          <w:iCs/>
          <w:sz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240"/>
        <w:jc w:val="both"/>
        <w:rPr/>
      </w:pPr>
      <w:r>
        <w:rPr>
          <w:rFonts w:ascii="Verdana" w:hAnsi="Verdana"/>
          <w:iCs/>
          <w:sz w:val="20"/>
          <w:lang w:eastAsia="en-US"/>
        </w:rPr>
        <w:t>11.5.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40"/>
        <w:ind w:left="-79" w:hanging="0"/>
        <w:jc w:val="both"/>
        <w:rPr>
          <w:rFonts w:ascii="Verdana" w:hAnsi="Verdana" w:cs="Arial"/>
          <w:b/>
          <w:sz w:val="20"/>
          <w:u w:val="single"/>
        </w:rPr>
      </w:pPr>
      <w:r>
        <w:rPr>
          <w:rFonts w:cs="Arial" w:ascii="Verdana" w:hAnsi="Verdana"/>
          <w:b/>
          <w:sz w:val="20"/>
          <w:u w:val="single"/>
        </w:rPr>
      </w:r>
    </w:p>
    <w:p>
      <w:pPr>
        <w:pStyle w:val="Normal"/>
        <w:spacing w:lineRule="auto" w:line="240"/>
        <w:ind w:left="-79" w:hanging="0"/>
        <w:jc w:val="both"/>
        <w:rPr/>
      </w:pPr>
      <w:r>
        <w:rPr>
          <w:rFonts w:ascii="Verdana" w:hAnsi="Verdana"/>
          <w:b/>
          <w:bCs/>
          <w:sz w:val="20"/>
          <w:lang w:eastAsia="en-US"/>
        </w:rPr>
        <w:t>12. DA HABILITAÇÃO</w:t>
      </w:r>
    </w:p>
    <w:p>
      <w:pPr>
        <w:pStyle w:val="Nivel011"/>
        <w:tabs>
          <w:tab w:val="left" w:pos="517" w:leader="none"/>
          <w:tab w:val="left" w:pos="567" w:leader="none"/>
          <w:tab w:val="left" w:pos="683" w:leader="none"/>
        </w:tabs>
        <w:spacing w:lineRule="auto" w:line="240" w:before="0" w:after="0"/>
        <w:ind w:left="-57" w:hanging="0"/>
        <w:rPr/>
      </w:pPr>
      <w:r>
        <w:rPr>
          <w:rFonts w:cs="Verdana" w:ascii="Verdana" w:hAnsi="Verdana"/>
          <w:b w:val="false"/>
          <w:bCs w:val="false"/>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left="0" w:hanging="0"/>
        <w:contextualSpacing/>
        <w:jc w:val="both"/>
        <w:rPr/>
      </w:pPr>
      <w:r>
        <w:rPr>
          <w:rFonts w:cs="Verdana" w:ascii="Verdana" w:hAnsi="Verdana"/>
          <w:sz w:val="20"/>
          <w:szCs w:val="20"/>
          <w:lang w:eastAsia="ar-SA"/>
        </w:rPr>
        <w:t>a) SICAF;</w:t>
      </w:r>
    </w:p>
    <w:p>
      <w:pPr>
        <w:pStyle w:val="ListParagraph"/>
        <w:spacing w:lineRule="auto" w:line="240" w:before="57" w:after="57"/>
        <w:ind w:left="0" w:hanging="0"/>
        <w:contextualSpacing/>
        <w:jc w:val="both"/>
        <w:rPr/>
      </w:pPr>
      <w:r>
        <w:rPr>
          <w:rFonts w:cs="Verdana" w:ascii="Verdana" w:hAnsi="Verdana"/>
          <w:sz w:val="20"/>
          <w:szCs w:val="20"/>
          <w:lang w:eastAsia="ar-SA"/>
        </w:rPr>
        <w:t>b) Cadastro Nacional de Empresas Inidôneas e Suspensas – CEIS, mantido pela Controladoria-Geral da União (</w:t>
      </w:r>
      <w:hyperlink r:id="rId3">
        <w:r>
          <w:rPr>
            <w:rFonts w:cs="Verdana" w:ascii="Verdana" w:hAnsi="Verdana"/>
            <w:color w:val="000080"/>
            <w:sz w:val="20"/>
            <w:szCs w:val="20"/>
            <w:u w:val="single"/>
            <w:lang w:eastAsia="ar-SA"/>
          </w:rPr>
          <w:t>www.portaldatransparencia.gov.br/ceis</w:t>
        </w:r>
      </w:hyperlink>
      <w:r>
        <w:rPr>
          <w:rFonts w:cs="Verdana" w:ascii="Verdana" w:hAnsi="Verdana"/>
          <w:sz w:val="20"/>
          <w:szCs w:val="20"/>
          <w:lang w:eastAsia="ar-SA"/>
        </w:rPr>
        <w:t>);</w:t>
      </w:r>
    </w:p>
    <w:p>
      <w:pPr>
        <w:pStyle w:val="ListParagraph"/>
        <w:spacing w:lineRule="auto" w:line="240" w:before="57" w:after="57"/>
        <w:ind w:left="0" w:hanging="0"/>
        <w:contextualSpacing/>
        <w:jc w:val="both"/>
        <w:rPr/>
      </w:pPr>
      <w:r>
        <w:rPr>
          <w:rFonts w:cs="Verdana" w:ascii="Verdana" w:hAnsi="Verdana"/>
          <w:sz w:val="20"/>
          <w:szCs w:val="20"/>
          <w:lang w:eastAsia="ar-SA"/>
        </w:rPr>
        <w:t>c) Cadastro Nacional de Condenações Cíveis por Atos de Improbidade Administrativa, mantido pelo Conselho Nacional de Justiça (</w:t>
      </w:r>
      <w:hyperlink r:id="rId4">
        <w:r>
          <w:rPr>
            <w:rFonts w:cs="Verdana" w:ascii="Verdana" w:hAnsi="Verdana"/>
            <w:color w:val="000080"/>
            <w:sz w:val="20"/>
            <w:szCs w:val="20"/>
            <w:u w:val="single"/>
            <w:lang w:eastAsia="ar-SA"/>
          </w:rPr>
          <w:t>www.cnj.jus.br/improbidade_adm/consultar_requerido.php</w:t>
        </w:r>
      </w:hyperlink>
      <w:r>
        <w:rPr>
          <w:rFonts w:cs="Verdana" w:ascii="Verdana" w:hAnsi="Verdana"/>
          <w:sz w:val="20"/>
          <w:szCs w:val="20"/>
          <w:lang w:eastAsia="ar-SA"/>
        </w:rPr>
        <w:t>).</w:t>
      </w:r>
    </w:p>
    <w:p>
      <w:pPr>
        <w:pStyle w:val="ListParagraph"/>
        <w:spacing w:lineRule="auto" w:line="240" w:before="57" w:after="57"/>
        <w:ind w:left="0" w:hanging="0"/>
        <w:contextualSpacing/>
        <w:jc w:val="both"/>
        <w:rPr/>
      </w:pPr>
      <w:r>
        <w:rPr>
          <w:rFonts w:cs="Verdana"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jc w:val="both"/>
        <w:rPr/>
      </w:pPr>
      <w:r>
        <w:rPr>
          <w:rFonts w:cs="Verdana" w:ascii="Verdana" w:hAnsi="Verdana"/>
          <w:sz w:val="20"/>
          <w:lang w:eastAsia="ar-SA"/>
        </w:rPr>
        <w:t>e) Cadastro de empresas inid</w:t>
      </w:r>
      <w:r>
        <w:rPr>
          <w:rFonts w:cs="Verdana" w:ascii="Verdana" w:hAnsi="Verdana"/>
          <w:sz w:val="20"/>
        </w:rPr>
        <w:t>ôneas, mantido pelo Tribunal de Contas do Estado do Espírito Santo –TCE/ES(https://www.tcees.tc.br/portal-da-transparencia/consultas/lista-de-responsaveis/empresas-inidoneas/) e proibidas de contratar com o Poder Público estadual ou municipal(</w:t>
      </w:r>
      <w:hyperlink r:id="rId5">
        <w:r>
          <w:rPr>
            <w:rFonts w:cs="Verdana" w:ascii="Verdana" w:hAnsi="Verdana"/>
            <w:color w:val="000080"/>
            <w:sz w:val="20"/>
            <w:u w:val="single"/>
          </w:rPr>
          <w:t>https://www.tcees.tc.br/portal-da-transparencia/consultas/lista-de</w:t>
        </w:r>
      </w:hyperlink>
      <w:r>
        <w:rPr>
          <w:rFonts w:cs="Verdana" w:ascii="Verdana" w:hAnsi="Verdana"/>
          <w:sz w:val="20"/>
        </w:rPr>
        <w:t xml:space="preserve"> responsáveis/proibidos-de-contratar/).</w:t>
      </w:r>
    </w:p>
    <w:p>
      <w:pPr>
        <w:pStyle w:val="Normal"/>
        <w:spacing w:lineRule="auto" w:line="240" w:before="57" w:after="57"/>
        <w:jc w:val="both"/>
        <w:rPr/>
      </w:pPr>
      <w:r>
        <w:rPr>
          <w:rFonts w:cs="Verdana" w:ascii="Verdana" w:hAnsi="Verdana"/>
          <w:sz w:val="20"/>
          <w:lang w:eastAsia="ar-SA"/>
        </w:rPr>
        <w:t>12.1.1. Para a consulta de licitantes pessoa jurídica poderá haver a substituição das consultas das alíneas “b”, “c” e “d” acima pela Consulta Consolidada de Pessoa Jurídica do TCU (</w:t>
      </w:r>
      <w:hyperlink r:id="rId6">
        <w:r>
          <w:rPr>
            <w:rFonts w:cs="Verdana" w:ascii="Verdana" w:hAnsi="Verdana"/>
            <w:color w:val="000080"/>
            <w:sz w:val="20"/>
            <w:u w:val="single"/>
            <w:lang w:eastAsia="ar-SA"/>
          </w:rPr>
          <w:t>https://certidoesapf.apps.tcu.gov.br/</w:t>
        </w:r>
      </w:hyperlink>
      <w:r>
        <w:rPr>
          <w:rFonts w:cs="Verdana" w:ascii="Verdana" w:hAnsi="Verdana"/>
          <w:sz w:val="20"/>
          <w:lang w:eastAsia="ar-SA"/>
        </w:rPr>
        <w:t>);</w:t>
      </w:r>
    </w:p>
    <w:p>
      <w:pPr>
        <w:pStyle w:val="Normal"/>
        <w:spacing w:lineRule="auto" w:line="240" w:before="57" w:after="57"/>
        <w:jc w:val="both"/>
        <w:rPr/>
      </w:pPr>
      <w:r>
        <w:rPr>
          <w:rFonts w:cs="Verdana" w:ascii="Verdana" w:hAnsi="Verdana"/>
          <w:color w:val="000000"/>
          <w:sz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57" w:after="57"/>
        <w:ind w:left="0" w:hanging="0"/>
        <w:contextualSpacing/>
        <w:jc w:val="both"/>
        <w:rPr/>
      </w:pPr>
      <w:r>
        <w:rPr>
          <w:rFonts w:cs="Verdana" w:ascii="Verdana" w:hAnsi="Verdana"/>
          <w:color w:val="000000"/>
          <w:sz w:val="20"/>
          <w:szCs w:val="20"/>
        </w:rPr>
        <w:t>12.1.2.1</w:t>
      </w:r>
      <w:r>
        <w:rPr>
          <w:rFonts w:cs="Verdana" w:ascii="Verdana" w:hAnsi="Verdana"/>
          <w:b/>
          <w:bCs/>
          <w:color w:val="000000"/>
          <w:sz w:val="20"/>
          <w:szCs w:val="20"/>
        </w:rPr>
        <w:t>.</w:t>
      </w:r>
      <w:r>
        <w:rPr>
          <w:rFonts w:cs="Verdana" w:ascii="Verdana" w:hAnsi="Verdana"/>
          <w:bCs/>
          <w:color w:val="000000"/>
          <w:sz w:val="20"/>
          <w:szCs w:val="20"/>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57" w:after="57"/>
        <w:ind w:left="0" w:hanging="0"/>
        <w:contextualSpacing/>
        <w:jc w:val="both"/>
        <w:rPr/>
      </w:pPr>
      <w:r>
        <w:rPr>
          <w:rFonts w:cs="Verdana" w:ascii="Verdana" w:hAnsi="Verdana"/>
          <w:color w:val="000000"/>
          <w:sz w:val="20"/>
          <w:szCs w:val="20"/>
        </w:rPr>
        <w:t>12.1.2.2.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57" w:after="57"/>
        <w:ind w:left="0" w:hanging="0"/>
        <w:contextualSpacing/>
        <w:jc w:val="both"/>
        <w:rPr/>
      </w:pPr>
      <w:r>
        <w:rPr>
          <w:rFonts w:cs="Verdana" w:ascii="Verdana" w:hAnsi="Verdana"/>
          <w:color w:val="000000"/>
          <w:sz w:val="20"/>
          <w:szCs w:val="20"/>
        </w:rPr>
        <w:t>12.1.2.3. O licitante será convocado para manifestação previamente à sua desclassificação.</w:t>
      </w:r>
    </w:p>
    <w:p>
      <w:pPr>
        <w:pStyle w:val="ListParagraph"/>
        <w:spacing w:lineRule="auto" w:line="240" w:before="57" w:after="57"/>
        <w:ind w:left="0" w:hanging="0"/>
        <w:contextualSpacing/>
        <w:jc w:val="both"/>
        <w:rPr/>
      </w:pPr>
      <w:r>
        <w:rPr>
          <w:rFonts w:cs="Verdana" w:ascii="Verdana" w:hAnsi="Verdana"/>
          <w:color w:val="000000"/>
          <w:sz w:val="20"/>
          <w:szCs w:val="20"/>
        </w:rPr>
        <w:t>12.1.3 .Constatada a existência de sanção, o Pregoeiro reputará o licitante inabilitado, por falta de condição de participação.</w:t>
      </w:r>
    </w:p>
    <w:p>
      <w:pPr>
        <w:pStyle w:val="ListParagraph"/>
        <w:spacing w:lineRule="auto" w:line="240" w:before="57" w:after="57"/>
        <w:ind w:left="0" w:hanging="0"/>
        <w:contextualSpacing/>
        <w:jc w:val="both"/>
        <w:rPr/>
      </w:pPr>
      <w:r>
        <w:rPr>
          <w:rFonts w:cs="Verdana" w:ascii="Verdana" w:hAnsi="Verdana"/>
          <w:color w:val="000000"/>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240" w:before="57" w:after="57"/>
        <w:ind w:left="0" w:hanging="0"/>
        <w:contextualSpacing/>
        <w:jc w:val="both"/>
        <w:rPr/>
      </w:pPr>
      <w:r>
        <w:rPr>
          <w:rFonts w:cs="Verdana" w:ascii="Verdana" w:hAnsi="Verdana"/>
          <w:sz w:val="20"/>
          <w:szCs w:val="20"/>
          <w:lang w:eastAsia="ar-SA"/>
        </w:rPr>
        <w:t xml:space="preserve">12.2. </w:t>
      </w:r>
      <w:r>
        <w:rPr>
          <w:rFonts w:cs="Verdana" w:ascii="Verdana" w:hAnsi="Verdana"/>
          <w:color w:val="000000"/>
          <w:sz w:val="20"/>
          <w:szCs w:val="20"/>
        </w:rPr>
        <w:t xml:space="preserve">Caso atendidas as condições de participação, </w:t>
      </w:r>
      <w:r>
        <w:rPr>
          <w:rFonts w:cs="Verdana" w:ascii="Verdana" w:hAnsi="Verdana"/>
          <w:sz w:val="20"/>
          <w:szCs w:val="20"/>
        </w:rPr>
        <w:t>a habilitação dos licitantes será verificada por meio do SICAF, nos documentos por ele abrangidos</w:t>
      </w:r>
      <w:r>
        <w:rPr>
          <w:rFonts w:cs="Verdana"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240" w:before="57" w:after="57"/>
        <w:ind w:left="0" w:hanging="0"/>
        <w:contextualSpacing/>
        <w:jc w:val="both"/>
        <w:rPr/>
      </w:pPr>
      <w:r>
        <w:rPr>
          <w:rFonts w:cs="Verdana" w:ascii="Verdana" w:hAnsi="Verdana"/>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240" w:before="57" w:after="57"/>
        <w:ind w:left="0" w:hanging="0"/>
        <w:contextualSpacing/>
        <w:jc w:val="both"/>
        <w:rPr/>
      </w:pPr>
      <w:r>
        <w:rPr>
          <w:rFonts w:cs="Verdana" w:ascii="Verdana" w:hAnsi="Verdana"/>
          <w:color w:val="000000"/>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240" w:before="57" w:after="57"/>
        <w:ind w:left="0" w:hanging="0"/>
        <w:contextualSpacing/>
        <w:jc w:val="both"/>
        <w:rPr/>
      </w:pPr>
      <w:r>
        <w:rPr>
          <w:rFonts w:cs="Verdana" w:ascii="Verdana" w:hAnsi="Verdana"/>
          <w:color w:val="000000"/>
          <w:sz w:val="20"/>
          <w:szCs w:val="20"/>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spacing w:lineRule="auto" w:line="240" w:before="57" w:after="57"/>
        <w:ind w:left="0" w:hanging="0"/>
        <w:contextualSpacing/>
        <w:jc w:val="both"/>
        <w:rPr/>
      </w:pPr>
      <w:r>
        <w:rPr>
          <w:rFonts w:cs="Verdana" w:ascii="Verdana" w:hAnsi="Verdana"/>
          <w:color w:val="000000"/>
          <w:sz w:val="20"/>
          <w:szCs w:val="20"/>
        </w:rPr>
        <w:t>12.3.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spacing w:lineRule="auto" w:line="240" w:before="57" w:after="57"/>
        <w:ind w:left="0" w:hanging="0"/>
        <w:contextualSpacing/>
        <w:jc w:val="both"/>
        <w:rPr/>
      </w:pPr>
      <w:r>
        <w:rPr>
          <w:rFonts w:cs="Verdana" w:ascii="Verdana" w:hAnsi="Verdana"/>
          <w:sz w:val="20"/>
          <w:szCs w:val="20"/>
        </w:rPr>
        <w:t>12.4 Somente haverá a necessidade de comprovação do preenchimento de requisitos mediante apresentação dos documentos originais não-digitais quando houver dúvida em relação à integridade do documento digital.</w:t>
      </w:r>
    </w:p>
    <w:p>
      <w:pPr>
        <w:pStyle w:val="PADRO"/>
        <w:widowControl/>
        <w:tabs>
          <w:tab w:val="clear" w:pos="708"/>
          <w:tab w:val="left" w:pos="567" w:leader="none"/>
        </w:tabs>
        <w:spacing w:lineRule="auto" w:line="240" w:before="57" w:after="57"/>
        <w:ind w:hanging="0"/>
        <w:rPr/>
      </w:pPr>
      <w:r>
        <w:rPr>
          <w:rFonts w:cs="Verdana" w:ascii="Verdana" w:hAnsi="Verdana"/>
          <w:sz w:val="20"/>
          <w:szCs w:val="20"/>
        </w:rPr>
        <w:t>12.5 Não serão aceitos documentos de habilitação com indicação de CNPJ/CPF diferentes, salvo aqueles legalmente permitidos.</w:t>
      </w:r>
    </w:p>
    <w:p>
      <w:pPr>
        <w:pStyle w:val="PADRO"/>
        <w:widowControl/>
        <w:tabs>
          <w:tab w:val="clear" w:pos="708"/>
          <w:tab w:val="left" w:pos="567" w:leader="none"/>
        </w:tabs>
        <w:spacing w:lineRule="auto" w:line="240" w:before="57" w:after="57"/>
        <w:ind w:hanging="0"/>
        <w:rPr/>
      </w:pPr>
      <w:r>
        <w:rPr>
          <w:rFonts w:cs="Verdana" w:ascii="Verdana" w:hAnsi="Verdana"/>
          <w:sz w:val="20"/>
          <w:szCs w:val="20"/>
        </w:rPr>
        <w:t>12.6 Serão aceitos registros de CNPJ de licitante matriz e filial com diferenças de números de documentos pertinentes ao CND e ao CRF/FGTS, quando for comprovada a centralização do recolhimento dessas contribuições.</w:t>
      </w:r>
    </w:p>
    <w:p>
      <w:pPr>
        <w:pStyle w:val="PADRO"/>
        <w:widowControl/>
        <w:tabs>
          <w:tab w:val="clear" w:pos="708"/>
          <w:tab w:val="left" w:pos="567" w:leader="none"/>
        </w:tabs>
        <w:spacing w:lineRule="auto" w:line="240" w:before="57" w:after="57"/>
        <w:ind w:hanging="0"/>
        <w:rPr/>
      </w:pPr>
      <w:r>
        <w:rPr>
          <w:rFonts w:cs="Verdana" w:ascii="Verdana" w:hAnsi="Verdana"/>
          <w:sz w:val="20"/>
          <w:szCs w:val="20"/>
        </w:rPr>
        <w:t>12.7 Ressalvado o disposto no item 5.3, os licitantes deverão encaminhar, nos termos deste Edital, a documentação relacionada nos itens a seguir, para fins de habilitação:</w:t>
      </w:r>
    </w:p>
    <w:p>
      <w:pPr>
        <w:pStyle w:val="ListParagraph"/>
        <w:spacing w:lineRule="auto" w:line="240" w:before="57" w:after="57"/>
        <w:ind w:left="0" w:hanging="0"/>
        <w:contextualSpacing/>
        <w:jc w:val="both"/>
        <w:rPr>
          <w:rFonts w:ascii="Verdana" w:hAnsi="Verdana" w:cs="Arial"/>
          <w:b/>
          <w:sz w:val="20"/>
          <w:szCs w:val="20"/>
          <w:u w:val="single"/>
        </w:rPr>
      </w:pPr>
      <w:r>
        <w:rPr>
          <w:rFonts w:cs="Arial" w:ascii="Verdana" w:hAnsi="Verdana"/>
          <w:b/>
          <w:sz w:val="20"/>
          <w:szCs w:val="20"/>
          <w:u w:val="single"/>
        </w:rPr>
      </w:r>
    </w:p>
    <w:p>
      <w:pPr>
        <w:pStyle w:val="ListParagraph"/>
        <w:spacing w:lineRule="auto" w:line="240"/>
        <w:ind w:left="0" w:hanging="0"/>
        <w:jc w:val="both"/>
        <w:rPr/>
      </w:pPr>
      <w:r>
        <w:rPr>
          <w:rFonts w:cs="Verdana" w:ascii="Verdana" w:hAnsi="Verdana"/>
          <w:b/>
          <w:bCs/>
          <w:color w:val="000000"/>
          <w:sz w:val="20"/>
          <w:szCs w:val="20"/>
        </w:rPr>
        <w:t>12.8 Habilitação jurídica:</w:t>
      </w:r>
    </w:p>
    <w:p>
      <w:pPr>
        <w:pStyle w:val="ListParagraph"/>
        <w:spacing w:lineRule="auto" w:line="240" w:before="57" w:after="57"/>
        <w:ind w:left="0" w:hanging="0"/>
        <w:contextualSpacing/>
        <w:jc w:val="both"/>
        <w:rPr/>
      </w:pPr>
      <w:r>
        <w:rPr>
          <w:rFonts w:cs="Verdana" w:ascii="Verdana" w:hAnsi="Verdana"/>
          <w:color w:val="000000"/>
          <w:sz w:val="20"/>
          <w:szCs w:val="20"/>
        </w:rPr>
        <w:t>12.8.1 No caso de empresário individual: inscrição no Registro Público de Empresas Mercantis, a cargo da Junta Comercial da respectiva sede.</w:t>
      </w:r>
    </w:p>
    <w:p>
      <w:pPr>
        <w:pStyle w:val="ListParagraph"/>
        <w:spacing w:lineRule="auto" w:line="240" w:before="57" w:after="57"/>
        <w:ind w:left="0" w:hanging="0"/>
        <w:contextualSpacing/>
        <w:jc w:val="both"/>
        <w:rPr/>
      </w:pPr>
      <w:r>
        <w:rPr>
          <w:rFonts w:cs="Verdana" w:ascii="Verdana" w:hAnsi="Verdana"/>
          <w:color w:val="000000"/>
          <w:sz w:val="20"/>
          <w:szCs w:val="20"/>
        </w:rPr>
        <w:t xml:space="preserve">12.8.2 Em se tratando de microempreendedor individual – MEI: Certificado da Condição de Microempreendedor Individual – CCMEI, cuja aceitação ficará condicionada à verificação da autenticidade no sítio </w:t>
      </w:r>
      <w:hyperlink r:id="rId7">
        <w:r>
          <w:rPr>
            <w:rFonts w:cs="Verdana" w:ascii="Verdana" w:hAnsi="Verdana"/>
            <w:color w:val="000000"/>
            <w:sz w:val="20"/>
            <w:szCs w:val="20"/>
            <w:u w:val="single"/>
          </w:rPr>
          <w:t>www.portaldoempreendedor.gov.br</w:t>
        </w:r>
      </w:hyperlink>
      <w:r>
        <w:rPr>
          <w:rFonts w:cs="Verdana" w:ascii="Verdana" w:hAnsi="Verdana"/>
          <w:color w:val="000000"/>
          <w:sz w:val="20"/>
          <w:szCs w:val="20"/>
          <w:u w:val="single"/>
        </w:rPr>
        <w:t>.</w:t>
      </w:r>
    </w:p>
    <w:p>
      <w:pPr>
        <w:pStyle w:val="ListParagraph"/>
        <w:spacing w:lineRule="auto" w:line="240" w:before="57" w:after="57"/>
        <w:ind w:left="0" w:hanging="0"/>
        <w:contextualSpacing/>
        <w:jc w:val="both"/>
        <w:rPr/>
      </w:pPr>
      <w:r>
        <w:rPr>
          <w:rFonts w:cs="Verdana" w:ascii="Verdana" w:hAnsi="Verdana"/>
          <w:color w:val="000000"/>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240" w:before="57" w:after="57"/>
        <w:ind w:left="0" w:hanging="0"/>
        <w:contextualSpacing/>
        <w:jc w:val="both"/>
        <w:rPr/>
      </w:pPr>
      <w:r>
        <w:rPr>
          <w:rFonts w:cs="Verdana" w:ascii="Verdana" w:hAnsi="Verdana"/>
          <w:color w:val="000000"/>
          <w:sz w:val="20"/>
          <w:szCs w:val="20"/>
        </w:rPr>
        <w:t>12.8.4 Inscrição no Registro Público de Empresas Mercantis onde opera, com averbação no Registro onde tem sede a matriz, no caso de ser o participante sucursal, filial ou agência.</w:t>
      </w:r>
    </w:p>
    <w:p>
      <w:pPr>
        <w:pStyle w:val="ListParagraph"/>
        <w:spacing w:lineRule="auto" w:line="240" w:before="57" w:after="57"/>
        <w:ind w:left="0" w:hanging="0"/>
        <w:contextualSpacing/>
        <w:jc w:val="both"/>
        <w:rPr/>
      </w:pPr>
      <w:r>
        <w:rPr>
          <w:rFonts w:cs="Verdana" w:ascii="Verdana" w:hAnsi="Verdana"/>
          <w:color w:val="000000"/>
          <w:sz w:val="20"/>
          <w:szCs w:val="20"/>
        </w:rPr>
        <w:t>12.8.5 No caso de sociedade simples: inscrição do ato constitutivo no Registro Civil das Pessoas Jurídicas do local de sua sede, acompanhada de prova da indicação dos seus administradores.</w:t>
      </w:r>
    </w:p>
    <w:p>
      <w:pPr>
        <w:pStyle w:val="ListParagraph"/>
        <w:spacing w:lineRule="auto" w:line="240" w:before="57" w:after="57"/>
        <w:ind w:left="0" w:hanging="0"/>
        <w:contextualSpacing/>
        <w:jc w:val="both"/>
        <w:rPr/>
      </w:pPr>
      <w:r>
        <w:rPr>
          <w:rFonts w:cs="Verdana" w:ascii="Verdana" w:hAnsi="Verdana"/>
          <w:color w:val="000000"/>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240" w:before="57" w:after="57"/>
        <w:ind w:left="0" w:hanging="0"/>
        <w:contextualSpacing/>
        <w:jc w:val="both"/>
        <w:rPr/>
      </w:pPr>
      <w:r>
        <w:rPr>
          <w:rFonts w:cs="Verdana" w:ascii="Verdana" w:hAnsi="Verdana"/>
          <w:color w:val="000000"/>
          <w:sz w:val="20"/>
          <w:szCs w:val="20"/>
        </w:rPr>
        <w:t>12.8.7 No</w:t>
      </w:r>
      <w:r>
        <w:rPr>
          <w:rFonts w:cs="Verdana" w:ascii="Verdana" w:hAnsi="Verdana"/>
          <w:bCs/>
          <w:color w:val="000000"/>
          <w:sz w:val="20"/>
          <w:szCs w:val="20"/>
        </w:rPr>
        <w:t xml:space="preserve"> caso de empresa ou sociedade estrangeira em funcionamento no País: decreto de autorização.</w:t>
      </w:r>
    </w:p>
    <w:p>
      <w:pPr>
        <w:pStyle w:val="ListParagraph"/>
        <w:spacing w:lineRule="auto" w:line="240" w:before="57" w:after="57"/>
        <w:ind w:left="0" w:hanging="0"/>
        <w:contextualSpacing/>
        <w:jc w:val="both"/>
        <w:rPr/>
      </w:pPr>
      <w:r>
        <w:rPr>
          <w:rFonts w:cs="Verdana" w:ascii="Verdana" w:hAnsi="Verdana"/>
          <w:color w:val="000000"/>
          <w:sz w:val="20"/>
          <w:szCs w:val="20"/>
        </w:rPr>
        <w:t>12.8.8 Os documentos acima deverão estar acompanhados de todas as alterações ou da con</w:t>
      </w:r>
      <w:r>
        <w:rPr>
          <w:rFonts w:cs="Verdana" w:ascii="Verdana" w:hAnsi="Verdana"/>
          <w:bCs/>
          <w:color w:val="000000"/>
          <w:sz w:val="20"/>
          <w:szCs w:val="20"/>
        </w:rPr>
        <w:t>solidação respectiva.</w:t>
      </w:r>
    </w:p>
    <w:p>
      <w:pPr>
        <w:pStyle w:val="ListParagraph"/>
        <w:spacing w:lineRule="auto" w:line="240" w:before="0" w:after="0"/>
        <w:ind w:left="0" w:hanging="0"/>
        <w:contextualSpacing/>
        <w:jc w:val="both"/>
        <w:rPr/>
      </w:pPr>
      <w:r>
        <w:rPr>
          <w:rFonts w:cs="Verdana" w:ascii="Verdana" w:hAnsi="Verdana"/>
          <w:b/>
          <w:bCs/>
          <w:color w:val="000000"/>
          <w:sz w:val="20"/>
          <w:szCs w:val="20"/>
        </w:rPr>
        <w:t xml:space="preserve">12.9 Regularidade fiscal </w:t>
      </w:r>
      <w:r>
        <w:rPr>
          <w:rFonts w:cs="Verdana" w:ascii="Verdana" w:hAnsi="Verdana"/>
          <w:b/>
          <w:bCs/>
          <w:sz w:val="20"/>
          <w:szCs w:val="20"/>
        </w:rPr>
        <w:t>e trabalhista</w:t>
      </w:r>
      <w:r>
        <w:rPr>
          <w:rFonts w:cs="Verdana" w:ascii="Verdana" w:hAnsi="Verdana"/>
          <w:b/>
          <w:bCs/>
          <w:color w:val="0000FF"/>
          <w:sz w:val="20"/>
          <w:szCs w:val="20"/>
        </w:rPr>
        <w:t>:</w:t>
      </w:r>
    </w:p>
    <w:p>
      <w:pPr>
        <w:pStyle w:val="Normal"/>
        <w:spacing w:lineRule="auto" w:line="240" w:before="0" w:after="0"/>
        <w:jc w:val="both"/>
        <w:rPr/>
      </w:pPr>
      <w:r>
        <w:rPr>
          <w:rFonts w:cs="Verdana" w:ascii="Verdana" w:hAnsi="Verdana"/>
          <w:sz w:val="20"/>
          <w:lang w:eastAsia="en-US"/>
        </w:rPr>
        <w:t>12.9.1 Prova de inscrição no Cadastro Nacional de Pessoas Jurídicas ou no Cadastro de Pessoas Físicas, conforme o caso.</w:t>
      </w:r>
    </w:p>
    <w:p>
      <w:pPr>
        <w:pStyle w:val="Normal"/>
        <w:spacing w:lineRule="auto" w:line="240" w:before="57" w:after="57"/>
        <w:jc w:val="both"/>
        <w:rPr/>
      </w:pPr>
      <w:r>
        <w:rPr>
          <w:rFonts w:cs="Verdana" w:ascii="Verdana" w:hAnsi="Verdana"/>
          <w:sz w:val="20"/>
          <w:lang w:eastAsia="en-US"/>
        </w:rPr>
        <w:t>12.9.2 Certidão de regularidade junto à fazenda pública Municipal, do domicílio do Licitante.</w:t>
      </w:r>
    </w:p>
    <w:p>
      <w:pPr>
        <w:pStyle w:val="Normal"/>
        <w:spacing w:lineRule="auto" w:line="240" w:before="57" w:after="57"/>
        <w:jc w:val="both"/>
        <w:rPr/>
      </w:pPr>
      <w:r>
        <w:rPr>
          <w:rFonts w:cs="Verdana" w:ascii="Verdana" w:hAnsi="Verdana"/>
          <w:sz w:val="20"/>
        </w:rPr>
        <w:t>12.9.3 Certidão de regularidade junto à fazenda pública Estadual, do domicílio do Licitante.</w:t>
      </w:r>
    </w:p>
    <w:p>
      <w:pPr>
        <w:pStyle w:val="Normal"/>
        <w:spacing w:lineRule="auto" w:line="240" w:before="57" w:after="57"/>
        <w:jc w:val="both"/>
        <w:rPr/>
      </w:pPr>
      <w:r>
        <w:rPr>
          <w:rFonts w:cs="Verdana" w:ascii="Verdana" w:hAnsi="Verdana"/>
          <w:sz w:val="20"/>
        </w:rPr>
        <w:t>12.9.4 Certidão conjunta de regularidade junto à fazenda pública Federal, (Quitação de tributos e contribuições Federais e Quanto à dívida ativa da União) e junto ao INSS, conforme Portaria MF nº 358 de 05/09/2014.</w:t>
      </w:r>
    </w:p>
    <w:p>
      <w:pPr>
        <w:pStyle w:val="Normal"/>
        <w:spacing w:lineRule="auto" w:line="240" w:before="57" w:after="57"/>
        <w:jc w:val="both"/>
        <w:rPr/>
      </w:pPr>
      <w:r>
        <w:rPr>
          <w:rFonts w:cs="Verdana" w:ascii="Verdana" w:hAnsi="Verdana"/>
          <w:sz w:val="20"/>
        </w:rPr>
        <w:t>12.9.5 Certidão de regularidade junto ao FGTS;</w:t>
      </w:r>
    </w:p>
    <w:p>
      <w:pPr>
        <w:pStyle w:val="Normal"/>
        <w:spacing w:lineRule="auto" w:line="240" w:before="57" w:after="57"/>
        <w:jc w:val="both"/>
        <w:rPr/>
      </w:pPr>
      <w:r>
        <w:rPr>
          <w:rFonts w:cs="Verdana" w:ascii="Verdana" w:hAnsi="Verdana"/>
          <w:sz w:val="20"/>
          <w:lang w:eastAsia="en-US"/>
        </w:rPr>
        <w:t>12.9.6 Certidão Negativa De Débitos Trabalhistas (CNDT) de acordo com a Lei 12440 de 7 de julho de 2011.</w:t>
      </w:r>
    </w:p>
    <w:p>
      <w:pPr>
        <w:pStyle w:val="Normal"/>
        <w:spacing w:lineRule="auto" w:line="240" w:before="0" w:after="0"/>
        <w:jc w:val="both"/>
        <w:rPr/>
      </w:pPr>
      <w:r>
        <w:rPr>
          <w:rFonts w:cs="Verdana" w:ascii="Verdana" w:hAnsi="Verdana"/>
          <w:color w:val="000000"/>
          <w:sz w:val="20"/>
          <w:lang w:eastAsia="en-US" w:bidi="pt-BR"/>
        </w:rPr>
        <w:t xml:space="preserve">12.9.7 Caso o vencedor do menor preço seja qualificado como microempresa ou empresa de pequeno porte </w:t>
      </w:r>
      <w:r>
        <w:rPr>
          <w:rFonts w:cs="Verdana" w:ascii="Verdana" w:hAnsi="Verdana"/>
          <w:color w:val="000000"/>
          <w:sz w:val="20"/>
          <w:lang w:eastAsia="en-US"/>
        </w:rPr>
        <w:t>deverá apresentar toda a documentação exigida para efeito de comprovação de regularidade fiscal, mesmo que esta apresente alguma restrição, sob pena de inabilitação.</w:t>
      </w:r>
    </w:p>
    <w:p>
      <w:pPr>
        <w:pStyle w:val="ListParagraph"/>
        <w:spacing w:lineRule="auto" w:line="240" w:before="57" w:after="57"/>
        <w:ind w:left="0" w:hanging="0"/>
        <w:contextualSpacing/>
        <w:jc w:val="both"/>
        <w:rPr/>
      </w:pPr>
      <w:r>
        <w:rPr>
          <w:rFonts w:cs="Verdana" w:ascii="Verdana" w:hAnsi="Verdana"/>
          <w:b/>
          <w:color w:val="000000"/>
          <w:sz w:val="20"/>
          <w:szCs w:val="20"/>
        </w:rPr>
        <w:t>12.10 Qualificação Econômico-Financeira</w:t>
      </w:r>
      <w:r>
        <w:rPr>
          <w:rFonts w:cs="Verdana" w:ascii="Verdana" w:hAnsi="Verdana"/>
          <w:color w:val="000000"/>
          <w:sz w:val="20"/>
          <w:szCs w:val="20"/>
        </w:rPr>
        <w:t>.</w:t>
      </w:r>
    </w:p>
    <w:p>
      <w:pPr>
        <w:pStyle w:val="Normal"/>
        <w:tabs>
          <w:tab w:val="clear" w:pos="708"/>
          <w:tab w:val="left" w:pos="850" w:leader="none"/>
        </w:tabs>
        <w:spacing w:lineRule="auto" w:line="240" w:before="57" w:after="57"/>
        <w:jc w:val="both"/>
        <w:rPr/>
      </w:pPr>
      <w:r>
        <w:rPr>
          <w:rFonts w:cs="Verdana" w:ascii="Verdana" w:hAnsi="Verdana"/>
          <w:color w:val="000000"/>
          <w:sz w:val="20"/>
        </w:rPr>
        <w:t>12.10.1 Certidão negativa de falência, recuperação judicial e extrajudicial, expedida pelo cartório distribuidor da sede da Licitante ou por meio digital, emitida em até 30 (trinta) dias anteriores à data de abertura da Licitação;</w:t>
      </w:r>
    </w:p>
    <w:p>
      <w:pPr>
        <w:pStyle w:val="Normal"/>
        <w:tabs>
          <w:tab w:val="clear" w:pos="708"/>
          <w:tab w:val="left" w:pos="850" w:leader="none"/>
        </w:tabs>
        <w:spacing w:lineRule="auto" w:line="240" w:before="57" w:after="57"/>
        <w:jc w:val="both"/>
        <w:rPr/>
      </w:pPr>
      <w:r>
        <w:rPr>
          <w:rFonts w:cs="Verdana" w:ascii="Verdana" w:hAnsi="Verdana"/>
          <w:color w:val="000000"/>
          <w:sz w:val="20"/>
        </w:rPr>
        <w:t>12.10.2 Havendo algum prazo de validade estabelecido por cartório na certidão citada na letra anterior, será considerado o prazo constante da certidão para comprovação da sua validade.</w:t>
      </w:r>
    </w:p>
    <w:p>
      <w:pPr>
        <w:pStyle w:val="Normal"/>
        <w:widowControl/>
        <w:tabs>
          <w:tab w:val="clear" w:pos="708"/>
          <w:tab w:val="left" w:pos="850" w:leader="none"/>
        </w:tabs>
        <w:suppressAutoHyphens w:val="true"/>
        <w:bidi w:val="0"/>
        <w:spacing w:lineRule="auto" w:line="240" w:before="57" w:after="57"/>
        <w:ind w:left="0" w:right="0" w:hanging="0"/>
        <w:jc w:val="both"/>
        <w:rPr/>
      </w:pPr>
      <w:r>
        <w:rPr>
          <w:rFonts w:cs="Verdana" w:ascii="Verdana" w:hAnsi="Verdana"/>
          <w:sz w:val="20"/>
        </w:rPr>
        <w:t>12.10.3 Para a contagem do prazo estabelecido na letra “a” deste capítulo, será contado a partir do primeiro dia que antecede a data da realização desta licitação.</w:t>
      </w:r>
    </w:p>
    <w:p>
      <w:pPr>
        <w:pStyle w:val="Normal"/>
        <w:widowControl/>
        <w:tabs>
          <w:tab w:val="clear" w:pos="708"/>
          <w:tab w:val="left" w:pos="850" w:leader="none"/>
        </w:tabs>
        <w:suppressAutoHyphens w:val="true"/>
        <w:bidi w:val="0"/>
        <w:spacing w:lineRule="auto" w:line="240" w:before="0" w:after="0"/>
        <w:ind w:left="0" w:right="0" w:hanging="0"/>
        <w:jc w:val="both"/>
        <w:rPr/>
      </w:pPr>
      <w:r>
        <w:rPr>
          <w:rFonts w:cs="Verdana" w:ascii="Verdana" w:hAnsi="Verdana"/>
          <w:color w:val="000000"/>
          <w:sz w:val="20"/>
          <w:lang w:eastAsia="en-US"/>
        </w:rPr>
        <w:t>12.10.4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spacing w:lineRule="auto" w:line="240"/>
        <w:rPr/>
      </w:pPr>
      <w:r>
        <w:rPr/>
      </w:r>
    </w:p>
    <w:p>
      <w:pPr>
        <w:pStyle w:val="Normal"/>
        <w:spacing w:lineRule="auto" w:line="240"/>
        <w:rPr/>
      </w:pPr>
      <w:r>
        <w:rPr>
          <w:rFonts w:ascii="Verdana" w:hAnsi="Verdana"/>
          <w:b/>
          <w:bCs/>
          <w:sz w:val="20"/>
        </w:rPr>
        <w:t xml:space="preserve">13. ADEQUAÇÃO ORÇAMENTÁRIA </w:t>
      </w:r>
    </w:p>
    <w:p>
      <w:pPr>
        <w:pStyle w:val="ListParagraph"/>
        <w:spacing w:lineRule="auto" w:line="240" w:before="0" w:after="0"/>
        <w:ind w:left="0" w:hanging="0"/>
        <w:contextualSpacing/>
        <w:jc w:val="both"/>
        <w:rPr/>
      </w:pPr>
      <w:r>
        <w:rPr>
          <w:rFonts w:ascii="Verdana" w:hAnsi="Verdana"/>
          <w:sz w:val="20"/>
          <w:szCs w:val="20"/>
        </w:rPr>
        <w:t>13.1.</w:t>
      </w:r>
      <w:r>
        <w:rPr>
          <w:rFonts w:ascii="Verdana" w:hAnsi="Verdana"/>
          <w:b/>
          <w:bCs/>
          <w:sz w:val="20"/>
          <w:szCs w:val="20"/>
        </w:rPr>
        <w:t xml:space="preserve"> </w:t>
      </w:r>
      <w:r>
        <w:rPr>
          <w:rFonts w:ascii="Verdana" w:hAnsi="Verdana"/>
          <w:sz w:val="20"/>
          <w:szCs w:val="20"/>
        </w:rPr>
        <w:t xml:space="preserve">As despesas decorrentes da presente </w:t>
      </w:r>
      <w:r>
        <w:rPr>
          <w:rFonts w:eastAsia="Times New Roman" w:cs="Times New Roman" w:ascii="Verdana" w:hAnsi="Verdana"/>
          <w:sz w:val="20"/>
          <w:szCs w:val="20"/>
        </w:rPr>
        <w:t>aquisição</w:t>
      </w:r>
      <w:r>
        <w:rPr>
          <w:rFonts w:ascii="Verdana" w:hAnsi="Verdana"/>
          <w:sz w:val="20"/>
          <w:szCs w:val="20"/>
        </w:rPr>
        <w:t xml:space="preserve"> correrão à conta de recursos específicos consignados no Lei Orçamentária Anual, bem como requisição do sistema presente nos autos</w:t>
      </w:r>
      <w:r>
        <w:rPr>
          <w:rFonts w:cs="Arial" w:ascii="Verdana" w:hAnsi="Verdana"/>
          <w:sz w:val="20"/>
          <w:szCs w:val="20"/>
        </w:rPr>
        <w:t xml:space="preserve"> conforme QDD de 2025.</w:t>
      </w:r>
    </w:p>
    <w:p>
      <w:pPr>
        <w:pStyle w:val="ListParagraph"/>
        <w:spacing w:lineRule="auto" w:line="240" w:before="0" w:after="0"/>
        <w:ind w:left="0" w:hanging="0"/>
        <w:contextualSpacing/>
        <w:jc w:val="both"/>
        <w:rPr/>
      </w:pPr>
      <w:r>
        <w:rPr/>
      </w:r>
    </w:p>
    <w:p>
      <w:pPr>
        <w:pStyle w:val="Normal"/>
        <w:spacing w:lineRule="auto" w:line="240"/>
        <w:jc w:val="both"/>
        <w:rPr/>
      </w:pPr>
      <w:r>
        <w:rPr>
          <w:rFonts w:cs="Arial" w:ascii="Verdana" w:hAnsi="Verdana"/>
          <w:b/>
          <w:bCs/>
          <w:color w:val="000000"/>
          <w:sz w:val="20"/>
        </w:rPr>
        <w:t>14. DOS RESPONSÁVEIS PELA ELABORAÇÃO DO TERMO DE REFERÊNCIA</w:t>
      </w:r>
    </w:p>
    <w:p>
      <w:pPr>
        <w:pStyle w:val="Normal"/>
        <w:spacing w:lineRule="auto" w:line="240"/>
        <w:jc w:val="both"/>
        <w:rPr/>
      </w:pPr>
      <w:r>
        <w:rPr>
          <w:rFonts w:cs="Arial" w:ascii="Verdana" w:hAnsi="Verdana"/>
          <w:color w:val="000000"/>
          <w:sz w:val="20"/>
        </w:rPr>
        <w:t>14.1. A compilação de parte das informações mencionados na elaboração deste Termo de Referência foram estruturadas através do ETP – Estudo Técnico Preliminar elaborado pela secretaria requisitante.</w:t>
      </w:r>
    </w:p>
    <w:p>
      <w:pPr>
        <w:pStyle w:val="Normal"/>
        <w:spacing w:lineRule="auto" w:line="240"/>
        <w:jc w:val="right"/>
        <w:rPr/>
      </w:pPr>
      <w:r>
        <w:rPr>
          <w:rFonts w:ascii="Verdana" w:hAnsi="Verdana"/>
          <w:sz w:val="20"/>
        </w:rPr>
        <w:t>São Gabriel da Palha, 16 de abril de 2025.</w:t>
      </w:r>
    </w:p>
    <w:p>
      <w:pPr>
        <w:pStyle w:val="Normal"/>
        <w:spacing w:lineRule="auto" w:line="240"/>
        <w:jc w:val="right"/>
        <w:rPr>
          <w:rFonts w:ascii="Verdana" w:hAnsi="Verdana" w:cs="Arial"/>
          <w:b/>
          <w:sz w:val="20"/>
          <w:u w:val="single"/>
        </w:rPr>
      </w:pPr>
      <w:r>
        <w:rPr>
          <w:rFonts w:cs="Arial" w:ascii="Verdana" w:hAnsi="Verdana"/>
          <w:b/>
          <w:sz w:val="20"/>
          <w:u w:val="single"/>
        </w:rPr>
      </w:r>
    </w:p>
    <w:p>
      <w:pPr>
        <w:pStyle w:val="Normal"/>
        <w:spacing w:lineRule="auto" w:line="240"/>
        <w:jc w:val="both"/>
        <w:rPr/>
      </w:pPr>
      <w:r>
        <w:rPr>
          <w:rFonts w:cs="Arial" w:ascii="Verdana" w:hAnsi="Verdana"/>
          <w:b/>
          <w:bCs/>
          <w:sz w:val="20"/>
        </w:rPr>
        <w:t>Elaborado por:</w:t>
      </w:r>
    </w:p>
    <w:p>
      <w:pPr>
        <w:pStyle w:val="Normal"/>
        <w:spacing w:lineRule="auto" w:line="240"/>
        <w:jc w:val="both"/>
        <w:rPr>
          <w:rFonts w:ascii="Verdana" w:hAnsi="Verdana" w:cs="Arial"/>
          <w:b/>
          <w:sz w:val="20"/>
          <w:u w:val="single"/>
        </w:rPr>
      </w:pPr>
      <w:r>
        <w:rPr>
          <w:rFonts w:cs="Arial" w:ascii="Verdana" w:hAnsi="Verdana"/>
          <w:b/>
          <w:sz w:val="20"/>
          <w:u w:val="single"/>
        </w:rPr>
      </w:r>
      <w:bookmarkEnd w:id="1"/>
      <w:bookmarkEnd w:id="2"/>
      <w:bookmarkEnd w:id="3"/>
      <w:bookmarkEnd w:id="4"/>
      <w:bookmarkEnd w:id="5"/>
      <w:bookmarkEnd w:id="6"/>
      <w:bookmarkEnd w:id="7"/>
    </w:p>
    <w:p>
      <w:pPr>
        <w:pStyle w:val="Normal"/>
        <w:spacing w:lineRule="auto" w:line="240"/>
        <w:rPr/>
      </w:pPr>
      <w:r>
        <w:rPr>
          <w:rFonts w:cs="Arial" w:ascii="Verdana" w:hAnsi="Verdana"/>
          <w:b/>
          <w:sz w:val="20"/>
          <w:u w:val="single"/>
        </w:rPr>
        <w:t>KARINA ARRIVABENE</w:t>
      </w:r>
    </w:p>
    <w:p>
      <w:pPr>
        <w:pStyle w:val="Normal"/>
        <w:spacing w:lineRule="auto" w:line="240"/>
        <w:rPr/>
      </w:pPr>
      <w:r>
        <w:rPr>
          <w:rFonts w:cs="Arial" w:ascii="Verdana" w:hAnsi="Verdana"/>
          <w:b/>
          <w:sz w:val="20"/>
          <w:u w:val="single"/>
        </w:rPr>
        <w:t>Escriturário</w:t>
      </w:r>
    </w:p>
    <w:p>
      <w:pPr>
        <w:pStyle w:val="Normal"/>
        <w:spacing w:lineRule="auto" w:line="240"/>
        <w:rPr/>
      </w:pPr>
      <w:r>
        <w:rPr>
          <w:rFonts w:ascii="Verdana" w:hAnsi="Verdana"/>
          <w:sz w:val="20"/>
        </w:rPr>
        <w:t>Mat nº 003463</w:t>
      </w:r>
    </w:p>
    <w:p>
      <w:pPr>
        <w:pStyle w:val="Normal"/>
        <w:spacing w:lineRule="auto" w:line="240"/>
        <w:rPr>
          <w:rFonts w:ascii="Verdana" w:hAnsi="Verdana"/>
          <w:sz w:val="20"/>
        </w:rPr>
      </w:pPr>
      <w:r>
        <w:rPr>
          <w:rFonts w:ascii="Verdana" w:hAnsi="Verdana"/>
          <w:sz w:val="20"/>
        </w:rPr>
      </w:r>
    </w:p>
    <w:p>
      <w:pPr>
        <w:pStyle w:val="Normal"/>
        <w:spacing w:lineRule="auto" w:line="240"/>
        <w:rPr>
          <w:rFonts w:ascii="Verdana" w:hAnsi="Verdana"/>
          <w:sz w:val="20"/>
        </w:rPr>
      </w:pPr>
      <w:r>
        <w:rPr>
          <w:rFonts w:ascii="Verdana" w:hAnsi="Verdana"/>
          <w:sz w:val="20"/>
        </w:rPr>
      </w:r>
    </w:p>
    <w:p>
      <w:pPr>
        <w:pStyle w:val="Normal"/>
        <w:spacing w:lineRule="auto" w:line="240"/>
        <w:rPr>
          <w:rFonts w:ascii="Verdana" w:hAnsi="Verdana"/>
          <w:sz w:val="20"/>
        </w:rPr>
      </w:pPr>
      <w:r>
        <w:rPr>
          <w:rFonts w:ascii="Verdana" w:hAnsi="Verdana"/>
          <w:sz w:val="20"/>
        </w:rPr>
      </w:r>
    </w:p>
    <w:p>
      <w:pPr>
        <w:pStyle w:val="Normal"/>
        <w:spacing w:lineRule="auto" w:line="240"/>
        <w:rPr/>
      </w:pPr>
      <w:r>
        <w:rPr>
          <w:rFonts w:ascii="Verdana" w:hAnsi="Verdana"/>
          <w:sz w:val="20"/>
        </w:rPr>
        <w:t>APROVADO POR:</w:t>
      </w:r>
    </w:p>
    <w:p>
      <w:pPr>
        <w:pStyle w:val="Normal"/>
        <w:spacing w:lineRule="auto" w:line="240"/>
        <w:rPr/>
      </w:pPr>
      <w:r>
        <w:rPr>
          <w:rFonts w:ascii="Verdana" w:hAnsi="Verdana"/>
          <w:sz w:val="20"/>
        </w:rPr>
        <w:t>MARCELLA FERREIRA ROSSONI ROCHA</w:t>
      </w:r>
    </w:p>
    <w:p>
      <w:pPr>
        <w:pStyle w:val="Normal"/>
        <w:spacing w:lineRule="auto" w:line="240"/>
        <w:rPr/>
      </w:pPr>
      <w:r>
        <w:rPr>
          <w:rFonts w:ascii="Verdana" w:hAnsi="Verdana"/>
          <w:sz w:val="20"/>
        </w:rPr>
        <w:t>SECRETÁRIO MUNICIPAL DE SAÚDE</w:t>
      </w:r>
    </w:p>
    <w:p>
      <w:pPr>
        <w:pStyle w:val="Normal"/>
        <w:spacing w:lineRule="auto" w:line="240"/>
        <w:rPr>
          <w:rFonts w:ascii="Verdana" w:hAnsi="Verdana"/>
          <w:sz w:val="20"/>
        </w:rPr>
      </w:pPr>
      <w:r>
        <w:rPr>
          <w:rFonts w:ascii="Verdana" w:hAnsi="Verdana"/>
          <w:sz w:val="20"/>
        </w:rPr>
      </w:r>
    </w:p>
    <w:sectPr>
      <w:headerReference w:type="default" r:id="rId8"/>
      <w:footerReference w:type="default" r:id="rId9"/>
      <w:type w:val="nextPage"/>
      <w:pgSz w:w="11906" w:h="16838"/>
      <w:pgMar w:left="1550" w:right="905" w:gutter="0" w:header="227" w:top="851" w:footer="567" w:bottom="851"/>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Ecofont_Spranq_eco_Sans">
    <w:charset w:val="00"/>
    <w:family w:val="roman"/>
    <w:pitch w:val="variable"/>
  </w:font>
  <w:font w:name="Tahoma">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Verdana">
    <w:charset w:val="00"/>
    <w:family w:val="roman"/>
    <w:pitch w:val="variable"/>
  </w:font>
  <w:font w:name="Arial Narrow">
    <w:charset w:val="00"/>
    <w:family w:val="roman"/>
    <w:pitch w:val="variable"/>
  </w:font>
  <w:font w:name="0">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pBdr>
        <w:top w:val="single" w:sz="4" w:space="1" w:color="000000"/>
      </w:pBdr>
      <w:tabs>
        <w:tab w:val="left" w:pos="540" w:leader="none"/>
        <w:tab w:val="center" w:pos="4419" w:leader="none"/>
        <w:tab w:val="center" w:pos="4536" w:leader="none"/>
        <w:tab w:val="right" w:pos="8838" w:leader="none"/>
      </w:tabs>
      <w:jc w:val="center"/>
      <w:rPr>
        <w:rStyle w:val="Pagenumbe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Rodap"/>
      <w:pBdr>
        <w:top w:val="single" w:sz="4" w:space="1" w:color="000000"/>
      </w:pBdr>
      <w:jc w:val="center"/>
      <w:rPr>
        <w:rStyle w:val="Pagenumbe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30">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SECRETARIA MUNICIPAL DE SAÚDE</w:t>
    </w:r>
  </w:p>
  <w:p>
    <w:pPr>
      <w:pStyle w:val="Normal"/>
      <w:jc w:val="center"/>
      <w:rPr>
        <w:rFonts w:ascii="Arial Narrow" w:hAnsi="Arial Narrow"/>
        <w:b/>
        <w:sz w:val="20"/>
      </w:rPr>
    </w:pPr>
    <w:r>
      <w:rPr>
        <w:rFonts w:ascii="Arial Narrow" w:hAnsi="Arial Narrow"/>
        <w:b/>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2">
    <w:lvl w:ilvl="0">
      <w:start w:val="1"/>
      <w:numFmt w:val="bullet"/>
      <w:suff w:val="nothing"/>
      <w:lvlText w:val=""/>
      <w:lvlJc w:val="left"/>
      <w:pPr>
        <w:tabs>
          <w:tab w:val="num" w:pos="0"/>
        </w:tabs>
        <w:ind w:left="709" w:hanging="0"/>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4">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5">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6">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7">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8">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9">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10">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11">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12">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13">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14">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15">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16">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17">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18">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19">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20">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21">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22">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23">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24">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25">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26">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27">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28">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29">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30">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31">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32">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33">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34">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35">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3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3"/>
  </w:num>
  <w:num w:numId="47">
    <w:abstractNumId w:val="3"/>
  </w:num>
  <w:num w:numId="48">
    <w:abstractNumId w:val="3"/>
  </w:num>
  <w:num w:numId="49">
    <w:abstractNumId w:val="3"/>
  </w:num>
  <w:num w:numId="50">
    <w:abstractNumId w:val="3"/>
  </w:num>
  <w:num w:numId="51">
    <w:abstractNumId w:val="3"/>
  </w:num>
  <w:num w:numId="52">
    <w:abstractNumId w:val="3"/>
  </w:num>
  <w:num w:numId="53">
    <w:abstractNumId w:val="3"/>
  </w:num>
  <w:num w:numId="54">
    <w:abstractNumId w:val="3"/>
  </w:num>
  <w:num w:numId="55">
    <w:abstractNumId w:val="3"/>
  </w:num>
  <w:num w:numId="56">
    <w:abstractNumId w:val="3"/>
  </w:num>
  <w:num w:numId="57">
    <w:abstractNumId w:val="3"/>
  </w:num>
  <w:num w:numId="58">
    <w:abstractNumId w:val="3"/>
  </w:num>
  <w:num w:numId="59">
    <w:abstractNumId w:val="3"/>
  </w:num>
  <w:num w:numId="60">
    <w:abstractNumId w:val="3"/>
  </w:num>
  <w:num w:numId="61">
    <w:abstractNumId w:val="3"/>
  </w:num>
  <w:num w:numId="62">
    <w:abstractNumId w:val="3"/>
  </w:num>
  <w:num w:numId="63">
    <w:abstractNumId w:val="3"/>
  </w:num>
  <w:num w:numId="64">
    <w:abstractNumId w:val="3"/>
  </w:num>
  <w:num w:numId="65">
    <w:abstractNumId w:val="3"/>
  </w:num>
  <w:num w:numId="66">
    <w:abstractNumId w:val="3"/>
  </w:num>
  <w:num w:numId="67">
    <w:abstractNumId w:val="3"/>
  </w:num>
  <w:num w:numId="68">
    <w:abstractNumId w:val="3"/>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e18ec"/>
    <w:pPr>
      <w:widowControl/>
      <w:suppressAutoHyphens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Ttulo1">
    <w:name w:val="Heading 1"/>
    <w:basedOn w:val="Normal"/>
    <w:next w:val="Normal"/>
    <w:link w:val="Ttulo1Char"/>
    <w:uiPriority w:val="9"/>
    <w:qFormat/>
    <w:rsid w:val="00537254"/>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2e18ec"/>
    <w:rPr/>
  </w:style>
  <w:style w:type="character" w:styleId="CabealhoChar" w:customStyle="1">
    <w:name w:val="Cabeçalho Char"/>
    <w:basedOn w:val="DefaultParagraphFont"/>
    <w:qFormat/>
    <w:rsid w:val="002e18ec"/>
    <w:rPr>
      <w:rFonts w:ascii="Times New Roman" w:hAnsi="Times New Roman" w:eastAsia="Times New Roman" w:cs="Times New Roman"/>
      <w:sz w:val="24"/>
      <w:szCs w:val="20"/>
      <w:lang w:eastAsia="pt-BR"/>
    </w:rPr>
  </w:style>
  <w:style w:type="character" w:styleId="RodapChar" w:customStyle="1">
    <w:name w:val="Rodapé Char"/>
    <w:basedOn w:val="DefaultParagraphFont"/>
    <w:qFormat/>
    <w:rsid w:val="002e18ec"/>
    <w:rPr>
      <w:rFonts w:ascii="Times New Roman" w:hAnsi="Times New Roman" w:eastAsia="Times New Roman" w:cs="Times New Roman"/>
      <w:sz w:val="24"/>
      <w:szCs w:val="20"/>
      <w:lang w:eastAsia="pt-BR"/>
    </w:rPr>
  </w:style>
  <w:style w:type="character" w:styleId="A6" w:customStyle="1">
    <w:name w:val="A6"/>
    <w:qFormat/>
    <w:rPr>
      <w:color w:val="000000"/>
      <w:sz w:val="18"/>
      <w:u w:val="single"/>
    </w:rPr>
  </w:style>
  <w:style w:type="character" w:styleId="Hyperlink1" w:customStyle="1">
    <w:name w:val="Hyperlink1"/>
    <w:qFormat/>
    <w:rPr>
      <w:color w:val="000080"/>
      <w:u w:val="single"/>
    </w:rPr>
  </w:style>
  <w:style w:type="character" w:styleId="CorpodetextoChar" w:customStyle="1">
    <w:name w:val="Corpo de texto Char"/>
    <w:basedOn w:val="DefaultParagraphFont"/>
    <w:qFormat/>
    <w:rsid w:val="004568f3"/>
    <w:rPr>
      <w:rFonts w:ascii="Times New Roman" w:hAnsi="Times New Roman" w:eastAsia="Times New Roman" w:cs="Times New Roman"/>
      <w:sz w:val="24"/>
      <w:szCs w:val="20"/>
      <w:lang w:eastAsia="pt-BR"/>
    </w:rPr>
  </w:style>
  <w:style w:type="character" w:styleId="CitaoChar" w:customStyle="1">
    <w:name w:val="Citação Char"/>
    <w:basedOn w:val="DefaultParagraphFont"/>
    <w:link w:val="Quote"/>
    <w:qFormat/>
    <w:rsid w:val="00537254"/>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537254"/>
    <w:rPr>
      <w:rFonts w:ascii="Arial" w:hAnsi="Arial" w:eastAsia="" w:cs="Arial" w:eastAsiaTheme="majorEastAsia"/>
      <w:b/>
      <w:color w:val="000000"/>
      <w:sz w:val="32"/>
      <w:szCs w:val="32"/>
    </w:rPr>
  </w:style>
  <w:style w:type="character" w:styleId="Nivel2Char" w:customStyle="1">
    <w:name w:val="Nivel 2 Char"/>
    <w:basedOn w:val="DefaultParagraphFont"/>
    <w:link w:val="Nivel2"/>
    <w:qFormat/>
    <w:locked/>
    <w:rsid w:val="00537254"/>
    <w:rPr>
      <w:rFonts w:ascii="Arial" w:hAnsi="Arial" w:cs="Arial"/>
      <w:color w:val="000000"/>
    </w:rPr>
  </w:style>
  <w:style w:type="character" w:styleId="Strong">
    <w:name w:val="Strong"/>
    <w:qFormat/>
    <w:rPr>
      <w:b/>
      <w:bCs/>
    </w:rPr>
  </w:style>
  <w:style w:type="character" w:styleId="Ttulo1Char" w:customStyle="1">
    <w:name w:val="Título 1 Char"/>
    <w:basedOn w:val="DefaultParagraphFont"/>
    <w:uiPriority w:val="9"/>
    <w:qFormat/>
    <w:rsid w:val="00537254"/>
    <w:rPr>
      <w:rFonts w:ascii="Cambria" w:hAnsi="Cambria" w:eastAsia="" w:cs="" w:asciiTheme="majorHAnsi" w:cstheme="majorBidi" w:eastAsiaTheme="majorEastAsia" w:hAnsiTheme="majorHAnsi"/>
      <w:b/>
      <w:bCs/>
      <w:color w:val="365F91" w:themeColor="accent1" w:themeShade="bf"/>
      <w:sz w:val="28"/>
      <w:szCs w:val="28"/>
      <w:lang w:eastAsia="pt-BR"/>
    </w:rPr>
  </w:style>
  <w:style w:type="character" w:styleId="Scayt-misspell-word" w:customStyle="1">
    <w:name w:val="scayt-misspell-word"/>
    <w:qFormat/>
    <w:rPr/>
  </w:style>
  <w:style w:type="character" w:styleId="Apple-converted-space" w:customStyle="1">
    <w:name w:val="apple-converted-space"/>
    <w:qFormat/>
    <w:rPr/>
  </w:style>
  <w:style w:type="character" w:styleId="QuoteChar" w:customStyle="1">
    <w:name w:val="Quote Char"/>
    <w:qFormat/>
    <w:rPr>
      <w:rFonts w:ascii="Ecofont_Spranq_eco_Sans" w:hAnsi="Ecofont_Spranq_eco_Sans" w:cs="Ecofont_Spranq_eco_Sans"/>
      <w:i/>
      <w:iCs/>
      <w:color w:val="000000"/>
      <w:sz w:val="24"/>
      <w:szCs w:val="24"/>
      <w:shd w:fill="FFFFCC" w:val="clear"/>
      <w:lang w:eastAsia="en-US"/>
    </w:rPr>
  </w:style>
  <w:style w:type="character" w:styleId="Nivel01Char" w:customStyle="1">
    <w:name w:val="Nivel_01 Char"/>
    <w:qFormat/>
    <w:rPr>
      <w:rFonts w:ascii="Ecofont_Spranq_eco_Sans" w:hAnsi="Ecofont_Spranq_eco_Sans" w:eastAsia="MS Gothic" w:cs="Times New Roman"/>
      <w:b/>
      <w:bCs/>
      <w:color w:val="365F91"/>
      <w:sz w:val="32"/>
      <w:szCs w:val="32"/>
    </w:rPr>
  </w:style>
  <w:style w:type="character" w:styleId="Nivel01Char1" w:customStyle="1">
    <w:name w:val="Nivel 01 Char"/>
    <w:qFormat/>
    <w:rPr>
      <w:rFonts w:ascii="Ecofont_Spranq_eco_Sans" w:hAnsi="Ecofont_Spranq_eco_Sans" w:eastAsia="MS Gothic"/>
      <w:b/>
      <w:bCs/>
      <w:color w:val="000000"/>
    </w:rPr>
  </w:style>
  <w:style w:type="character" w:styleId="AssuntodocomentrioChar" w:customStyle="1">
    <w:name w:val="Assunto do comentário Char"/>
    <w:qFormat/>
    <w:rPr>
      <w:rFonts w:ascii="Arial" w:hAnsi="Arial" w:cs="Tahoma"/>
      <w:b/>
      <w:bCs/>
    </w:rPr>
  </w:style>
  <w:style w:type="character" w:styleId="TextodecomentrioChar" w:customStyle="1">
    <w:name w:val="Texto de comentário Char"/>
    <w:qFormat/>
    <w:rPr>
      <w:rFonts w:ascii="Arial" w:hAnsi="Arial" w:cs="Tahoma"/>
    </w:rPr>
  </w:style>
  <w:style w:type="character" w:styleId="Annotationreference">
    <w:name w:val="annotation reference"/>
    <w:qFormat/>
    <w:rPr>
      <w:sz w:val="18"/>
      <w:szCs w:val="18"/>
    </w:rPr>
  </w:style>
  <w:style w:type="character" w:styleId="GradeColorida-nfase1Char" w:customStyle="1">
    <w:name w:val="Grade Colorida - Ênfase 1 Char"/>
    <w:qFormat/>
    <w:rPr>
      <w:rFonts w:ascii="Ecofont_Spranq_eco_Sans" w:hAnsi="Ecofont_Spranq_eco_Sans" w:eastAsia="Calibri"/>
      <w:i/>
      <w:iCs/>
      <w:color w:val="000000"/>
      <w:szCs w:val="24"/>
      <w:shd w:fill="FFFFCC" w:val="clear"/>
      <w:lang w:val="x-none" w:eastAsia="en-US"/>
    </w:rPr>
  </w:style>
  <w:style w:type="character" w:styleId="Citao2Char" w:customStyle="1">
    <w:name w:val="citação 2 Char"/>
    <w:qFormat/>
    <w:rPr>
      <w:rFonts w:ascii="Ecofont_Spranq_eco_Sans" w:hAnsi="Ecofont_Spranq_eco_Sans" w:eastAsia="Calibri" w:cs="Tahoma"/>
      <w:i/>
      <w:iCs/>
      <w:color w:val="000000"/>
      <w:shd w:fill="FFFFCC" w:val="clear"/>
      <w:lang w:eastAsia="en-US"/>
    </w:rPr>
  </w:style>
  <w:style w:type="character" w:styleId="Apple-style-span" w:customStyle="1">
    <w:name w:val="apple-style-span"/>
    <w:qFormat/>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Ttulo2Char" w:customStyle="1">
    <w:name w:val="Título 2 Char"/>
    <w:qFormat/>
    <w:rPr>
      <w:b/>
      <w:color w:val="000000"/>
      <w:sz w:val="24"/>
    </w:rPr>
  </w:style>
  <w:style w:type="character" w:styleId="TextodebaloChar" w:customStyle="1">
    <w:name w:val="Texto de balão Char"/>
    <w:qFormat/>
    <w:rPr>
      <w:rFonts w:ascii="Tahoma" w:hAnsi="Tahoma" w:cs="Tahoma"/>
      <w:sz w:val="16"/>
      <w:szCs w:val="16"/>
    </w:rPr>
  </w:style>
  <w:style w:type="character" w:styleId="Marcadores" w:customStyle="1">
    <w:name w:val="Marcadores"/>
    <w:qFormat/>
    <w:rPr>
      <w:rFonts w:ascii="OpenSymbol" w:hAnsi="OpenSymbol" w:eastAsia="OpenSymbol" w:cs="OpenSymbol"/>
    </w:rPr>
  </w:style>
  <w:style w:type="character" w:styleId="LinkdaInternet">
    <w:name w:val="Hyperlink"/>
    <w:rPr>
      <w:color w:val="000080"/>
      <w:u w:val="single"/>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Lucida Sans"/>
    </w:rPr>
  </w:style>
  <w:style w:type="paragraph" w:styleId="Ttulododocumento">
    <w:name w:val="Title"/>
    <w:basedOn w:val="Normal"/>
    <w:next w:val="Corpodotexto"/>
    <w:qFormat/>
    <w:pPr>
      <w:keepNext w:val="true"/>
      <w:spacing w:before="240" w:after="120"/>
    </w:pPr>
    <w:rPr>
      <w:rFonts w:ascii="Liberation Sans" w:hAnsi="Liberation Sans" w:eastAsia="Microsoft YaHei" w:cs="Lucida Sans"/>
      <w:sz w:val="28"/>
      <w:szCs w:val="28"/>
    </w:rPr>
  </w:style>
  <w:style w:type="paragraph" w:styleId="Caption">
    <w:name w:val="caption"/>
    <w:basedOn w:val="Normal"/>
    <w:qFormat/>
    <w:pPr>
      <w:suppressLineNumbers/>
      <w:spacing w:before="120" w:after="120"/>
    </w:pPr>
    <w:rPr>
      <w:rFonts w:cs="Lucida Sans"/>
      <w:i/>
      <w:iCs/>
      <w:szCs w:val="24"/>
    </w:rPr>
  </w:style>
  <w:style w:type="paragraph" w:styleId="CabealhoeRodap" w:customStyle="1">
    <w:name w:val="Cabeçalho e Rodapé"/>
    <w:basedOn w:val="Normal"/>
    <w:qFormat/>
    <w:pPr/>
    <w:rPr/>
  </w:style>
  <w:style w:type="paragraph" w:styleId="Cabealho">
    <w:name w:val="Header"/>
    <w:basedOn w:val="Normal"/>
    <w:link w:val="CabealhoChar"/>
    <w:rsid w:val="002e18ec"/>
    <w:pPr>
      <w:tabs>
        <w:tab w:val="clear" w:pos="708"/>
        <w:tab w:val="center" w:pos="4419" w:leader="none"/>
        <w:tab w:val="right" w:pos="8838" w:leader="none"/>
      </w:tabs>
    </w:pPr>
    <w:rPr/>
  </w:style>
  <w:style w:type="paragraph" w:styleId="Rodap">
    <w:name w:val="Footer"/>
    <w:basedOn w:val="Normal"/>
    <w:link w:val="RodapChar"/>
    <w:rsid w:val="002e18ec"/>
    <w:pPr>
      <w:tabs>
        <w:tab w:val="clear" w:pos="708"/>
        <w:tab w:val="center" w:pos="4419" w:leader="none"/>
        <w:tab w:val="right" w:pos="8838" w:leader="none"/>
      </w:tabs>
    </w:pPr>
    <w:rPr/>
  </w:style>
  <w:style w:type="paragraph" w:styleId="ListParagraph">
    <w:name w:val="List Paragraph"/>
    <w:basedOn w:val="Normal"/>
    <w:qFormat/>
    <w:pPr>
      <w:spacing w:lineRule="auto" w:line="276" w:before="0" w:after="200"/>
      <w:ind w:left="720" w:hanging="0"/>
      <w:contextualSpacing/>
    </w:pPr>
    <w:rPr>
      <w:rFonts w:ascii="Calibri" w:hAnsi="Calibri" w:eastAsia="Calibri" w:cs="Calibri"/>
      <w:sz w:val="22"/>
      <w:szCs w:val="22"/>
    </w:rPr>
  </w:style>
  <w:style w:type="paragraph" w:styleId="Tabelanormal1" w:customStyle="1">
    <w:name w:val="Tabela normal1"/>
    <w:qFormat/>
    <w:pPr>
      <w:widowControl/>
      <w:suppressAutoHyphens w:val="tru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rsid w:val="00537254"/>
    <w:pPr>
      <w:pBdr>
        <w:top w:val="single" w:sz="4" w:space="1" w:color="1F497D"/>
        <w:left w:val="single" w:sz="4" w:space="4" w:color="1F497D"/>
        <w:bottom w:val="single" w:sz="4" w:space="1" w:color="1F497D"/>
        <w:right w:val="single" w:sz="4" w:space="4" w:color="1F497D"/>
      </w:pBdr>
      <w:shd w:val="clear" w:color="auto" w:fill="FFFFCC"/>
      <w:suppressAutoHyphens w:val="false"/>
      <w:spacing w:before="120" w:after="0"/>
      <w:jc w:val="both"/>
    </w:pPr>
    <w:rPr>
      <w:rFonts w:ascii="Arial" w:hAnsi="Arial" w:eastAsia="Calibri" w:cs="Tahoma"/>
      <w:i/>
      <w:iCs/>
      <w:color w:val="000000"/>
      <w:sz w:val="20"/>
      <w:szCs w:val="24"/>
      <w:lang w:eastAsia="en-US"/>
    </w:rPr>
  </w:style>
  <w:style w:type="paragraph" w:styleId="Nivel1" w:customStyle="1">
    <w:name w:val="Nivel1"/>
    <w:basedOn w:val="Ttulo1"/>
    <w:next w:val="Normal"/>
    <w:link w:val="Nivel1Char"/>
    <w:qFormat/>
    <w:rsid w:val="00537254"/>
    <w:pPr>
      <w:suppressAutoHyphens w:val="false"/>
      <w:spacing w:lineRule="auto" w:line="276" w:before="480" w:after="120"/>
      <w:jc w:val="both"/>
      <w:outlineLvl w:val="9"/>
    </w:pPr>
    <w:rPr>
      <w:rFonts w:ascii="Arial" w:hAnsi="Arial" w:cs="Arial"/>
      <w:bCs w:val="false"/>
      <w:color w:val="000000"/>
      <w:sz w:val="32"/>
      <w:szCs w:val="32"/>
      <w:lang w:eastAsia="en-US"/>
    </w:rPr>
  </w:style>
  <w:style w:type="paragraph" w:styleId="Standard" w:customStyle="1">
    <w:name w:val="Standard"/>
    <w:qFormat/>
    <w:rsid w:val="00537254"/>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customStyle="1">
    <w:name w:val="citação 2"/>
    <w:basedOn w:val="Quote"/>
    <w:qFormat/>
    <w:rsid w:val="00537254"/>
    <w:pPr>
      <w:suppressAutoHyphens w:val="true"/>
    </w:pPr>
    <w:rPr>
      <w:kern w:val="2"/>
      <w:szCs w:val="20"/>
      <w:lang w:eastAsia="zh-CN" w:bidi="hi-IN"/>
    </w:rPr>
  </w:style>
  <w:style w:type="paragraph" w:styleId="Nivel2" w:customStyle="1">
    <w:name w:val="Nivel 2"/>
    <w:basedOn w:val="Normal"/>
    <w:link w:val="Nivel2Char"/>
    <w:qFormat/>
    <w:rsid w:val="00537254"/>
    <w:pPr>
      <w:suppressAutoHyphens w:val="false"/>
      <w:spacing w:lineRule="auto" w:line="276" w:before="120" w:after="120"/>
      <w:jc w:val="both"/>
    </w:pPr>
    <w:rPr>
      <w:rFonts w:ascii="Arial" w:hAnsi="Arial" w:eastAsia="Calibri" w:cs="Arial" w:eastAsiaTheme="minorHAnsi"/>
      <w:color w:val="000000"/>
      <w:sz w:val="22"/>
      <w:szCs w:val="22"/>
      <w:lang w:eastAsia="en-US"/>
    </w:rPr>
  </w:style>
  <w:style w:type="paragraph" w:styleId="Nivel3" w:customStyle="1">
    <w:name w:val="Nivel 3"/>
    <w:basedOn w:val="ListParagraph"/>
    <w:qFormat/>
    <w:rsid w:val="00537254"/>
    <w:pPr>
      <w:tabs>
        <w:tab w:val="clear" w:pos="708"/>
        <w:tab w:val="left" w:pos="360" w:leader="none"/>
      </w:tabs>
      <w:suppressAutoHyphens w:val="false"/>
      <w:spacing w:before="120" w:after="120"/>
      <w:ind w:left="425" w:hanging="0"/>
      <w:contextualSpacing/>
      <w:jc w:val="both"/>
    </w:pPr>
    <w:rPr>
      <w:rFonts w:ascii="Arial" w:hAnsi="Arial" w:cs="Arial"/>
      <w:sz w:val="20"/>
    </w:rPr>
  </w:style>
  <w:style w:type="paragraph" w:styleId="TableParagraph" w:customStyle="1">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Default" w:customStyle="1">
    <w:name w:val="Default"/>
    <w:qFormat/>
    <w:pPr>
      <w:widowControl/>
      <w:suppressAutoHyphens w:val="tru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Citao1" w:customStyle="1">
    <w:name w:val="Citação1"/>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cs="Ecofont_Spranq_eco_Sans"/>
      <w:i/>
      <w:iCs/>
      <w:color w:val="000000"/>
      <w:shd w:fill="FFFFCC" w:val="clear"/>
      <w:lang w:eastAsia="en-US"/>
    </w:rPr>
  </w:style>
  <w:style w:type="paragraph" w:styleId="Nivel5" w:customStyle="1">
    <w:name w:val="Nivel 5"/>
    <w:qFormat/>
    <w:pPr>
      <w:widowControl/>
      <w:tabs>
        <w:tab w:val="clear" w:pos="708"/>
        <w:tab w:val="left" w:pos="360" w:leader="none"/>
      </w:tabs>
      <w:suppressAutoHyphens w:val="true"/>
      <w:bidi w:val="0"/>
      <w:spacing w:lineRule="auto" w:line="276" w:before="120" w:after="120"/>
      <w:ind w:left="3485" w:hanging="0"/>
      <w:jc w:val="both"/>
    </w:pPr>
    <w:rPr>
      <w:rFonts w:ascii="Ecofont_Spranq_eco_Sans" w:hAnsi="Ecofont_Spranq_eco_Sans" w:eastAsia="Arial Unicode MS" w:cs="Arial"/>
      <w:color w:val="auto"/>
      <w:kern w:val="0"/>
      <w:sz w:val="22"/>
      <w:szCs w:val="22"/>
      <w:lang w:val="pt-BR" w:eastAsia="en-US" w:bidi="ar-SA"/>
    </w:rPr>
  </w:style>
  <w:style w:type="paragraph" w:styleId="Nivel4" w:customStyle="1">
    <w:name w:val="Nivel 4"/>
    <w:qFormat/>
    <w:pPr>
      <w:widowControl/>
      <w:tabs>
        <w:tab w:val="clear" w:pos="708"/>
        <w:tab w:val="left" w:pos="360" w:leader="none"/>
      </w:tabs>
      <w:suppressAutoHyphens w:val="true"/>
      <w:bidi w:val="0"/>
      <w:spacing w:lineRule="auto" w:line="276" w:before="120" w:after="120"/>
      <w:ind w:left="2491" w:hanging="0"/>
      <w:jc w:val="both"/>
    </w:pPr>
    <w:rPr>
      <w:rFonts w:ascii="Ecofont_Spranq_eco_Sans" w:hAnsi="Ecofont_Spranq_eco_Sans" w:eastAsia="Arial Unicode MS" w:cs="Arial"/>
      <w:color w:val="auto"/>
      <w:kern w:val="0"/>
      <w:sz w:val="22"/>
      <w:szCs w:val="22"/>
      <w:lang w:val="pt-BR" w:eastAsia="en-US" w:bidi="ar-SA"/>
    </w:rPr>
  </w:style>
  <w:style w:type="paragraph" w:styleId="Nivel11" w:customStyle="1">
    <w:name w:val="Nivel 1"/>
    <w:qFormat/>
    <w:pPr>
      <w:widowControl/>
      <w:tabs>
        <w:tab w:val="clear" w:pos="708"/>
        <w:tab w:val="left" w:pos="360" w:leader="none"/>
      </w:tabs>
      <w:suppressAutoHyphens w:val="true"/>
      <w:bidi w:val="0"/>
      <w:spacing w:lineRule="auto" w:line="276" w:before="120" w:after="120"/>
      <w:ind w:left="644" w:hanging="432"/>
      <w:jc w:val="both"/>
    </w:pPr>
    <w:rPr>
      <w:rFonts w:ascii="Ecofont_Spranq_eco_Sans" w:hAnsi="Ecofont_Spranq_eco_Sans" w:eastAsia="Arial Unicode MS" w:cs="Arial"/>
      <w:b/>
      <w:color w:val="auto"/>
      <w:kern w:val="0"/>
      <w:sz w:val="22"/>
      <w:szCs w:val="22"/>
      <w:lang w:val="pt-BR" w:eastAsia="en-US" w:bidi="ar-SA"/>
    </w:rPr>
  </w:style>
  <w:style w:type="paragraph" w:styleId="PargrafodaLista1" w:customStyle="1">
    <w:name w:val="Parágrafo da Lista1"/>
    <w:basedOn w:val="Normal"/>
    <w:qFormat/>
    <w:pPr>
      <w:ind w:left="720" w:hanging="0"/>
    </w:pPr>
    <w:rPr>
      <w:rFonts w:ascii="Ecofont_Spranq_eco_Sans" w:hAnsi="Ecofont_Spranq_eco_Sans" w:cs="Ecofont_Spranq_eco_Sans"/>
    </w:rPr>
  </w:style>
  <w:style w:type="paragraph" w:styleId="SombreamentoMdio1-nfase31" w:customStyle="1">
    <w:name w:val="Sombreamento Médio 1 - Ênfase 31"/>
    <w:basedOn w:val="Normal"/>
    <w:qFormat/>
    <w:pPr>
      <w:pBdr>
        <w:top w:val="single" w:sz="4" w:space="1" w:color="000080"/>
        <w:left w:val="single" w:sz="4" w:space="4" w:color="000080"/>
        <w:bottom w:val="single" w:sz="4" w:space="1" w:color="000080"/>
        <w:right w:val="single" w:sz="4" w:space="4" w:color="000080"/>
      </w:pBdr>
      <w:shd w:val="clear" w:color="auto" w:fill="FFFFCC"/>
      <w:spacing w:before="120" w:after="0"/>
      <w:jc w:val="both"/>
    </w:pPr>
    <w:rPr>
      <w:rFonts w:ascii="Ecofont_Spranq_eco_Sans" w:hAnsi="Ecofont_Spranq_eco_Sans" w:eastAsia="Calibri"/>
      <w:i/>
      <w:iCs/>
      <w:color w:val="000000"/>
    </w:rPr>
  </w:style>
  <w:style w:type="paragraph" w:styleId="Nivel01" w:customStyle="1">
    <w:name w:val="Nivel_01"/>
    <w:basedOn w:val="Ttulo1"/>
    <w:qFormat/>
    <w:pPr>
      <w:tabs>
        <w:tab w:val="clear" w:pos="708"/>
        <w:tab w:val="left" w:pos="567" w:leader="none"/>
      </w:tabs>
      <w:spacing w:before="240" w:after="0"/>
      <w:jc w:val="both"/>
      <w:outlineLvl w:val="9"/>
    </w:pPr>
    <w:rPr>
      <w:rFonts w:ascii="Ecofont_Spranq_eco_Sans" w:hAnsi="Ecofont_Spranq_eco_Sans" w:eastAsia="MS Gothic" w:cs="Times New Roman"/>
      <w:color w:val="365F91"/>
      <w:sz w:val="20"/>
      <w:szCs w:val="20"/>
    </w:rPr>
  </w:style>
  <w:style w:type="paragraph" w:styleId="Nivel011" w:customStyle="1">
    <w:name w:val="Nivel 01"/>
    <w:basedOn w:val="Ttulo1"/>
    <w:qFormat/>
    <w:pPr>
      <w:tabs>
        <w:tab w:val="clear" w:pos="708"/>
        <w:tab w:val="left" w:pos="567" w:leader="none"/>
      </w:tabs>
      <w:spacing w:before="240" w:after="0"/>
      <w:jc w:val="both"/>
      <w:outlineLvl w:val="9"/>
    </w:pPr>
    <w:rPr>
      <w:rFonts w:ascii="Ecofont_Spranq_eco_Sans" w:hAnsi="Ecofont_Spranq_eco_Sans" w:eastAsia="MS Gothic" w:cs="Times New Roman"/>
      <w:color w:val="000000"/>
      <w:sz w:val="20"/>
      <w:szCs w:val="20"/>
    </w:rPr>
  </w:style>
  <w:style w:type="paragraph" w:styleId="Annotationsubject">
    <w:name w:val="annotation subject"/>
    <w:qFormat/>
    <w:pPr>
      <w:widowControl/>
      <w:suppressAutoHyphens w:val="true"/>
      <w:bidi w:val="0"/>
      <w:spacing w:before="0" w:after="0"/>
      <w:jc w:val="left"/>
    </w:pPr>
    <w:rPr>
      <w:rFonts w:ascii="Calibri" w:hAnsi="Calibri" w:eastAsia="Calibri" w:cs="0" w:asciiTheme="minorHAnsi" w:eastAsiaTheme="minorHAnsi" w:hAnsiTheme="minorHAnsi"/>
      <w:b/>
      <w:bCs/>
      <w:color w:val="auto"/>
      <w:kern w:val="0"/>
      <w:sz w:val="20"/>
      <w:szCs w:val="20"/>
      <w:lang w:val="pt-BR" w:eastAsia="en-US" w:bidi="ar-SA"/>
    </w:rPr>
  </w:style>
  <w:style w:type="paragraph" w:styleId="Annotationtext">
    <w:name w:val="annotation text"/>
    <w:basedOn w:val="Normal"/>
    <w:qFormat/>
    <w:pPr/>
    <w:rPr/>
  </w:style>
  <w:style w:type="paragraph" w:styleId="GradeColorida-nfase11" w:customStyle="1">
    <w:name w:val="Grade Colorida - Ênfase 11"/>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val="x-none" w:eastAsia="en-US"/>
    </w:rPr>
  </w:style>
  <w:style w:type="paragraph" w:styleId="ListBullet5">
    <w:name w:val="List Bullet 5"/>
    <w:basedOn w:val="Normal"/>
    <w:qFormat/>
    <w:pPr>
      <w:spacing w:before="0" w:after="0"/>
      <w:contextualSpacing/>
    </w:pPr>
    <w:rPr/>
  </w:style>
  <w:style w:type="paragraph" w:styleId="Nvel2" w:customStyle="1">
    <w:name w:val="Nível 2"/>
    <w:basedOn w:val="Normal"/>
    <w:qFormat/>
    <w:pPr>
      <w:spacing w:before="0" w:after="120"/>
      <w:jc w:val="both"/>
    </w:pPr>
    <w:rPr>
      <w:b/>
    </w:rPr>
  </w:style>
  <w:style w:type="paragraph" w:styleId="BalloonText">
    <w:name w:val="Balloon Text"/>
    <w:basedOn w:val="Normal"/>
    <w:qFormat/>
    <w:pPr/>
    <w:rPr>
      <w:rFonts w:ascii="Tahoma" w:hAnsi="Tahoma"/>
      <w:sz w:val="16"/>
      <w:szCs w:val="16"/>
    </w:rPr>
  </w:style>
  <w:style w:type="paragraph" w:styleId="NormalWeb">
    <w:name w:val="Normal (Web)"/>
    <w:basedOn w:val="Normal"/>
    <w:qFormat/>
    <w:pPr>
      <w:spacing w:beforeAutospacing="1" w:afterAutospacing="1"/>
    </w:pPr>
    <w:rPr/>
  </w:style>
  <w:style w:type="paragraph" w:styleId="Contedodatabela" w:customStyle="1">
    <w:name w:val="Conteúdo da tabela"/>
    <w:basedOn w:val="Normal"/>
    <w:qFormat/>
    <w:pPr/>
    <w:rPr/>
  </w:style>
  <w:style w:type="paragraph" w:styleId="Ttulodetabela" w:customStyle="1">
    <w:name w:val="Título de tabela"/>
    <w:basedOn w:val="Contedodatabela"/>
    <w:qFormat/>
    <w:pPr>
      <w:suppressLineNumbers/>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53725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Application>LibreOffice/7.5.7.1$Windows_X86_64 LibreOffice_project/47eb0cf7efbacdee9b19ae25d6752381ede23126</Application>
  <AppVersion>15.0000</AppVersion>
  <Pages>29</Pages>
  <Words>9564</Words>
  <Characters>53744</Characters>
  <CharactersWithSpaces>62288</CharactersWithSpaces>
  <Paragraphs>1148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2025-05-14T15:21:00Z</dcterms:created>
  <dc:creator>Ruth Barbara da Silwa Nascimento</dc:creator>
  <dc:description/>
  <dc:language>pt-BR</dc:language>
  <cp:lastModifiedBy/>
  <cp:lastPrinted>2025-05-14T13:27:52Z</cp:lastPrinted>
  <dcterms:modified xsi:type="dcterms:W3CDTF">2025-05-14T13:28:06Z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